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8C1C" w14:textId="77777777" w:rsidR="00A24DFE" w:rsidRPr="00A24DFE" w:rsidRDefault="00A24DFE" w:rsidP="00A24DFE">
      <w:pPr>
        <w:spacing w:line="360" w:lineRule="auto"/>
        <w:jc w:val="both"/>
        <w:rPr>
          <w:rStyle w:val="Forte"/>
          <w:sz w:val="24"/>
          <w:szCs w:val="24"/>
        </w:rPr>
      </w:pPr>
      <w:r w:rsidRPr="00A24DFE">
        <w:rPr>
          <w:rStyle w:val="Forte"/>
          <w:sz w:val="24"/>
          <w:szCs w:val="24"/>
        </w:rPr>
        <w:t>PROCESSO ADMINISTRATIVO N° 3891/2025</w:t>
      </w:r>
    </w:p>
    <w:p w14:paraId="4F70EF94" w14:textId="77777777" w:rsidR="00A24DFE" w:rsidRPr="00A24DFE" w:rsidRDefault="00A24DFE" w:rsidP="00A24DFE">
      <w:pPr>
        <w:spacing w:line="360" w:lineRule="auto"/>
        <w:jc w:val="both"/>
        <w:rPr>
          <w:rStyle w:val="Forte"/>
          <w:sz w:val="24"/>
          <w:szCs w:val="24"/>
        </w:rPr>
      </w:pPr>
      <w:bookmarkStart w:id="0" w:name="_Hlk207889334"/>
      <w:r w:rsidRPr="00A24DFE">
        <w:rPr>
          <w:rStyle w:val="Forte"/>
          <w:sz w:val="24"/>
          <w:szCs w:val="24"/>
        </w:rPr>
        <w:t>INTERESSADA: Secretaria Municipal da Educação.</w:t>
      </w:r>
    </w:p>
    <w:p w14:paraId="3AA3DFB3" w14:textId="77777777" w:rsidR="00A24DFE" w:rsidRPr="00A24DFE" w:rsidRDefault="00A24DFE" w:rsidP="00A24DFE">
      <w:pPr>
        <w:spacing w:line="360" w:lineRule="auto"/>
        <w:jc w:val="both"/>
        <w:rPr>
          <w:rStyle w:val="Forte"/>
          <w:b w:val="0"/>
          <w:bCs w:val="0"/>
          <w:sz w:val="24"/>
          <w:szCs w:val="24"/>
        </w:rPr>
      </w:pPr>
      <w:r w:rsidRPr="00A24DFE">
        <w:rPr>
          <w:rStyle w:val="Forte"/>
          <w:sz w:val="24"/>
          <w:szCs w:val="24"/>
        </w:rPr>
        <w:t>OBJETO:</w:t>
      </w:r>
      <w:r w:rsidRPr="00A24DFE">
        <w:rPr>
          <w:rStyle w:val="Forte"/>
          <w:b w:val="0"/>
          <w:bCs w:val="0"/>
          <w:sz w:val="24"/>
          <w:szCs w:val="24"/>
        </w:rPr>
        <w:t xml:space="preserve"> Registro de preços visando a Contratação de empresa para prestação de serviços de manutenção predial (corretiva e preventiva), com fornecimento de mão de obra, equipamentos e ferramentas para atender às demandas das unidades pertencentes ao Departamento de Esportes vinculadas à Secretaria de Educação, de acordo com o ANEXO I – Termo de Referência e demais condições estabelecidas neste edital.</w:t>
      </w:r>
    </w:p>
    <w:bookmarkEnd w:id="0"/>
    <w:p w14:paraId="653FDE8D" w14:textId="6C462F29" w:rsidR="003B1A0E" w:rsidRPr="00DD07D2" w:rsidRDefault="003B1A0E" w:rsidP="00E339BC">
      <w:pPr>
        <w:spacing w:line="360" w:lineRule="auto"/>
        <w:jc w:val="both"/>
        <w:rPr>
          <w:rStyle w:val="Forte"/>
          <w:b w:val="0"/>
          <w:bCs w:val="0"/>
          <w:sz w:val="24"/>
          <w:szCs w:val="24"/>
        </w:rPr>
      </w:pPr>
    </w:p>
    <w:p w14:paraId="0F436DDF" w14:textId="6AD1FBAA" w:rsidR="00A24DFE" w:rsidRDefault="00A24DFE" w:rsidP="006A1020">
      <w:pPr>
        <w:spacing w:line="360" w:lineRule="auto"/>
        <w:jc w:val="both"/>
        <w:rPr>
          <w:rStyle w:val="Forte"/>
          <w:sz w:val="24"/>
          <w:szCs w:val="24"/>
        </w:rPr>
      </w:pPr>
      <w:r>
        <w:rPr>
          <w:rStyle w:val="Forte"/>
          <w:sz w:val="24"/>
          <w:szCs w:val="24"/>
        </w:rPr>
        <w:t>Secretaria da Fazenda</w:t>
      </w:r>
    </w:p>
    <w:p w14:paraId="56718C95" w14:textId="2CC9A335" w:rsidR="00A24DFE" w:rsidRPr="00DD07D2" w:rsidRDefault="00A24DFE" w:rsidP="006A1020">
      <w:pPr>
        <w:spacing w:line="360" w:lineRule="auto"/>
        <w:jc w:val="both"/>
        <w:rPr>
          <w:rStyle w:val="Forte"/>
          <w:sz w:val="24"/>
          <w:szCs w:val="24"/>
        </w:rPr>
      </w:pPr>
      <w:r>
        <w:rPr>
          <w:rStyle w:val="Forte"/>
          <w:sz w:val="24"/>
          <w:szCs w:val="24"/>
        </w:rPr>
        <w:t>Sr. Secretário,</w:t>
      </w:r>
    </w:p>
    <w:p w14:paraId="335C79B5" w14:textId="77777777" w:rsidR="00975BF0" w:rsidRPr="00DD07D2" w:rsidRDefault="00975BF0" w:rsidP="00E339BC">
      <w:pPr>
        <w:spacing w:line="360" w:lineRule="auto"/>
        <w:jc w:val="both"/>
        <w:rPr>
          <w:rStyle w:val="Forte"/>
          <w:sz w:val="24"/>
          <w:szCs w:val="24"/>
        </w:rPr>
      </w:pPr>
    </w:p>
    <w:p w14:paraId="3CB2B61E" w14:textId="68DDAADA" w:rsidR="00E46FB4" w:rsidRPr="00D76652" w:rsidRDefault="00E339BC" w:rsidP="00E46FB4">
      <w:pPr>
        <w:spacing w:line="360" w:lineRule="auto"/>
        <w:ind w:firstLine="708"/>
        <w:jc w:val="both"/>
        <w:rPr>
          <w:rStyle w:val="Forte"/>
          <w:b w:val="0"/>
          <w:bCs w:val="0"/>
          <w:sz w:val="24"/>
          <w:szCs w:val="24"/>
        </w:rPr>
      </w:pPr>
      <w:r w:rsidRPr="00D76652">
        <w:rPr>
          <w:rStyle w:val="Forte"/>
          <w:b w:val="0"/>
          <w:bCs w:val="0"/>
          <w:sz w:val="24"/>
          <w:szCs w:val="24"/>
        </w:rPr>
        <w:t xml:space="preserve">Trata-se de análise e parecer </w:t>
      </w:r>
      <w:r w:rsidR="00D561FA" w:rsidRPr="00D76652">
        <w:rPr>
          <w:rStyle w:val="Forte"/>
          <w:b w:val="0"/>
          <w:bCs w:val="0"/>
          <w:sz w:val="24"/>
          <w:szCs w:val="24"/>
        </w:rPr>
        <w:t>s</w:t>
      </w:r>
      <w:r w:rsidRPr="00D76652">
        <w:rPr>
          <w:rStyle w:val="Forte"/>
          <w:b w:val="0"/>
          <w:bCs w:val="0"/>
          <w:sz w:val="24"/>
          <w:szCs w:val="24"/>
        </w:rPr>
        <w:t xml:space="preserve">obre </w:t>
      </w:r>
      <w:r w:rsidR="005A1381" w:rsidRPr="00D76652">
        <w:rPr>
          <w:rStyle w:val="Forte"/>
          <w:b w:val="0"/>
          <w:bCs w:val="0"/>
          <w:sz w:val="24"/>
          <w:szCs w:val="24"/>
        </w:rPr>
        <w:t>o recurso interposto</w:t>
      </w:r>
      <w:r w:rsidR="00000383" w:rsidRPr="00D76652">
        <w:rPr>
          <w:rStyle w:val="Forte"/>
          <w:b w:val="0"/>
          <w:bCs w:val="0"/>
          <w:sz w:val="24"/>
          <w:szCs w:val="24"/>
        </w:rPr>
        <w:t>s</w:t>
      </w:r>
      <w:r w:rsidR="005A1381" w:rsidRPr="00D76652">
        <w:rPr>
          <w:rStyle w:val="Forte"/>
          <w:b w:val="0"/>
          <w:bCs w:val="0"/>
          <w:sz w:val="24"/>
          <w:szCs w:val="24"/>
        </w:rPr>
        <w:t xml:space="preserve"> em </w:t>
      </w:r>
      <w:r w:rsidR="006A1020" w:rsidRPr="00D76652">
        <w:rPr>
          <w:rStyle w:val="Forte"/>
          <w:b w:val="0"/>
          <w:bCs w:val="0"/>
          <w:sz w:val="24"/>
          <w:szCs w:val="24"/>
        </w:rPr>
        <w:t xml:space="preserve">Pregão Eletrônico nº </w:t>
      </w:r>
      <w:r w:rsidR="00A24DFE">
        <w:rPr>
          <w:rStyle w:val="Forte"/>
          <w:b w:val="0"/>
          <w:bCs w:val="0"/>
          <w:sz w:val="24"/>
          <w:szCs w:val="24"/>
        </w:rPr>
        <w:t>150</w:t>
      </w:r>
      <w:r w:rsidR="0073384B" w:rsidRPr="00D76652">
        <w:rPr>
          <w:rStyle w:val="Forte"/>
          <w:b w:val="0"/>
          <w:bCs w:val="0"/>
          <w:sz w:val="24"/>
          <w:szCs w:val="24"/>
        </w:rPr>
        <w:t>/</w:t>
      </w:r>
      <w:r w:rsidR="00AD6C70" w:rsidRPr="00D76652">
        <w:rPr>
          <w:rStyle w:val="Forte"/>
          <w:b w:val="0"/>
          <w:bCs w:val="0"/>
          <w:sz w:val="24"/>
          <w:szCs w:val="24"/>
        </w:rPr>
        <w:t>202</w:t>
      </w:r>
      <w:r w:rsidR="00DD07D2" w:rsidRPr="00D76652">
        <w:rPr>
          <w:rStyle w:val="Forte"/>
          <w:b w:val="0"/>
          <w:bCs w:val="0"/>
          <w:sz w:val="24"/>
          <w:szCs w:val="24"/>
        </w:rPr>
        <w:t>5</w:t>
      </w:r>
      <w:r w:rsidRPr="00D76652">
        <w:rPr>
          <w:rStyle w:val="Forte"/>
          <w:b w:val="0"/>
          <w:bCs w:val="0"/>
          <w:sz w:val="24"/>
          <w:szCs w:val="24"/>
        </w:rPr>
        <w:t xml:space="preserve">, cujo objeto </w:t>
      </w:r>
      <w:bookmarkStart w:id="1" w:name="_Hlk46737496"/>
      <w:r w:rsidRPr="00D76652">
        <w:rPr>
          <w:rStyle w:val="Forte"/>
          <w:b w:val="0"/>
          <w:bCs w:val="0"/>
          <w:sz w:val="24"/>
          <w:szCs w:val="24"/>
        </w:rPr>
        <w:t>é</w:t>
      </w:r>
      <w:r w:rsidR="00BA7E30" w:rsidRPr="00D76652">
        <w:rPr>
          <w:rStyle w:val="Forte"/>
          <w:b w:val="0"/>
          <w:bCs w:val="0"/>
          <w:sz w:val="24"/>
          <w:szCs w:val="24"/>
        </w:rPr>
        <w:t xml:space="preserve"> </w:t>
      </w:r>
      <w:bookmarkEnd w:id="1"/>
      <w:r w:rsidR="00653519" w:rsidRPr="00D76652">
        <w:rPr>
          <w:rStyle w:val="Forte"/>
          <w:b w:val="0"/>
          <w:bCs w:val="0"/>
          <w:sz w:val="24"/>
          <w:szCs w:val="24"/>
        </w:rPr>
        <w:t xml:space="preserve">o </w:t>
      </w:r>
      <w:r w:rsidR="00A24DFE" w:rsidRPr="00A24DFE">
        <w:rPr>
          <w:rStyle w:val="Forte"/>
          <w:b w:val="0"/>
          <w:bCs w:val="0"/>
          <w:sz w:val="24"/>
          <w:szCs w:val="24"/>
        </w:rPr>
        <w:t xml:space="preserve">registro </w:t>
      </w:r>
      <w:r w:rsidR="00A24DFE" w:rsidRPr="00A24DFE">
        <w:rPr>
          <w:rStyle w:val="Forte"/>
          <w:b w:val="0"/>
          <w:bCs w:val="0"/>
          <w:sz w:val="24"/>
          <w:szCs w:val="24"/>
        </w:rPr>
        <w:t>de preços visando a Contratação de empresa para prestação de serviços de manutenção predial (corretiva e preventiva), com fornecimento de mão de obra, equipamentos e ferramentas para atender às demandas das unidades pertencentes ao Departamento de Esportes vinculadas à Secretaria de Educação, de acordo com o ANEXO I – Termo de Referência e demais condições estabelecidas neste edital</w:t>
      </w:r>
      <w:r w:rsidR="00D76652" w:rsidRPr="00D76652">
        <w:rPr>
          <w:rStyle w:val="Forte"/>
          <w:b w:val="0"/>
          <w:bCs w:val="0"/>
          <w:sz w:val="24"/>
          <w:szCs w:val="24"/>
        </w:rPr>
        <w:t>.</w:t>
      </w:r>
    </w:p>
    <w:p w14:paraId="601ACF73" w14:textId="2F017158" w:rsidR="00E339BC" w:rsidRPr="008E0867" w:rsidRDefault="00E339BC" w:rsidP="00E46FB4">
      <w:pPr>
        <w:spacing w:line="360" w:lineRule="auto"/>
        <w:ind w:firstLine="708"/>
        <w:jc w:val="both"/>
        <w:rPr>
          <w:rStyle w:val="Forte"/>
          <w:sz w:val="24"/>
          <w:szCs w:val="24"/>
        </w:rPr>
      </w:pPr>
    </w:p>
    <w:p w14:paraId="186B12B2" w14:textId="68354EBE" w:rsidR="00E339BC" w:rsidRPr="008E0867" w:rsidRDefault="00E339BC" w:rsidP="00E339BC">
      <w:pPr>
        <w:spacing w:line="360" w:lineRule="auto"/>
        <w:jc w:val="both"/>
        <w:rPr>
          <w:rStyle w:val="Forte"/>
          <w:sz w:val="24"/>
          <w:szCs w:val="24"/>
        </w:rPr>
      </w:pPr>
      <w:r w:rsidRPr="008E0867">
        <w:rPr>
          <w:rStyle w:val="Forte"/>
          <w:sz w:val="24"/>
          <w:szCs w:val="24"/>
        </w:rPr>
        <w:t xml:space="preserve">1. DOS FATOS: </w:t>
      </w:r>
    </w:p>
    <w:p w14:paraId="5088019D" w14:textId="4A3DE3F0" w:rsidR="00E46FB4" w:rsidRPr="008E0867" w:rsidRDefault="005A1381" w:rsidP="00A24DFE">
      <w:pPr>
        <w:spacing w:line="360" w:lineRule="auto"/>
        <w:ind w:firstLine="708"/>
        <w:jc w:val="both"/>
        <w:rPr>
          <w:sz w:val="24"/>
          <w:szCs w:val="24"/>
        </w:rPr>
      </w:pPr>
      <w:r w:rsidRPr="008E0867">
        <w:rPr>
          <w:rStyle w:val="Forte"/>
          <w:b w:val="0"/>
          <w:bCs w:val="0"/>
          <w:sz w:val="24"/>
          <w:szCs w:val="24"/>
        </w:rPr>
        <w:t>Conforme se constatou em sessão de licitação</w:t>
      </w:r>
      <w:r w:rsidR="00F96BEF" w:rsidRPr="008E0867">
        <w:rPr>
          <w:rStyle w:val="Forte"/>
          <w:b w:val="0"/>
          <w:bCs w:val="0"/>
          <w:sz w:val="24"/>
          <w:szCs w:val="24"/>
        </w:rPr>
        <w:t xml:space="preserve"> de </w:t>
      </w:r>
      <w:r w:rsidR="00E46FB4" w:rsidRPr="008E0867">
        <w:rPr>
          <w:rStyle w:val="Forte"/>
          <w:b w:val="0"/>
          <w:bCs w:val="0"/>
          <w:sz w:val="24"/>
          <w:szCs w:val="24"/>
        </w:rPr>
        <w:t>Pregão Presencial</w:t>
      </w:r>
      <w:r w:rsidR="00F96BEF" w:rsidRPr="008E0867">
        <w:rPr>
          <w:rStyle w:val="Forte"/>
          <w:b w:val="0"/>
          <w:bCs w:val="0"/>
          <w:sz w:val="24"/>
          <w:szCs w:val="24"/>
        </w:rPr>
        <w:t xml:space="preserve"> nº. </w:t>
      </w:r>
      <w:r w:rsidR="0073384B">
        <w:rPr>
          <w:rStyle w:val="Forte"/>
          <w:b w:val="0"/>
          <w:bCs w:val="0"/>
          <w:sz w:val="24"/>
          <w:szCs w:val="24"/>
        </w:rPr>
        <w:t>1</w:t>
      </w:r>
      <w:r w:rsidR="00D76652">
        <w:rPr>
          <w:rStyle w:val="Forte"/>
          <w:b w:val="0"/>
          <w:bCs w:val="0"/>
          <w:sz w:val="24"/>
          <w:szCs w:val="24"/>
        </w:rPr>
        <w:t>35</w:t>
      </w:r>
      <w:r w:rsidR="003B1A0E" w:rsidRPr="008E0867">
        <w:rPr>
          <w:rStyle w:val="Forte"/>
          <w:b w:val="0"/>
          <w:bCs w:val="0"/>
          <w:sz w:val="24"/>
          <w:szCs w:val="24"/>
        </w:rPr>
        <w:t>/202</w:t>
      </w:r>
      <w:r w:rsidR="00DD07D2">
        <w:rPr>
          <w:rStyle w:val="Forte"/>
          <w:b w:val="0"/>
          <w:bCs w:val="0"/>
          <w:sz w:val="24"/>
          <w:szCs w:val="24"/>
        </w:rPr>
        <w:t>5</w:t>
      </w:r>
      <w:r w:rsidR="00F96BEF" w:rsidRPr="008E0867">
        <w:rPr>
          <w:rStyle w:val="Forte"/>
          <w:b w:val="0"/>
          <w:bCs w:val="0"/>
          <w:sz w:val="24"/>
          <w:szCs w:val="24"/>
        </w:rPr>
        <w:t xml:space="preserve">, </w:t>
      </w:r>
      <w:r w:rsidR="00E46FB4" w:rsidRPr="008E0867">
        <w:rPr>
          <w:rStyle w:val="Forte"/>
          <w:b w:val="0"/>
          <w:bCs w:val="0"/>
          <w:sz w:val="24"/>
          <w:szCs w:val="24"/>
        </w:rPr>
        <w:t xml:space="preserve">houve registro </w:t>
      </w:r>
      <w:r w:rsidR="00AD6C70">
        <w:rPr>
          <w:rStyle w:val="Forte"/>
          <w:b w:val="0"/>
          <w:bCs w:val="0"/>
          <w:sz w:val="24"/>
          <w:szCs w:val="24"/>
        </w:rPr>
        <w:t>de</w:t>
      </w:r>
      <w:r w:rsidR="00E46FB4" w:rsidRPr="008E0867">
        <w:rPr>
          <w:rStyle w:val="Forte"/>
          <w:b w:val="0"/>
          <w:bCs w:val="0"/>
          <w:sz w:val="24"/>
          <w:szCs w:val="24"/>
        </w:rPr>
        <w:t xml:space="preserve"> intenç</w:t>
      </w:r>
      <w:r w:rsidR="006A1020" w:rsidRPr="008E0867">
        <w:rPr>
          <w:rStyle w:val="Forte"/>
          <w:b w:val="0"/>
          <w:bCs w:val="0"/>
          <w:sz w:val="24"/>
          <w:szCs w:val="24"/>
        </w:rPr>
        <w:t>ão</w:t>
      </w:r>
      <w:r w:rsidR="00000383" w:rsidRPr="008E0867">
        <w:rPr>
          <w:rStyle w:val="Forte"/>
          <w:b w:val="0"/>
          <w:bCs w:val="0"/>
          <w:sz w:val="24"/>
          <w:szCs w:val="24"/>
        </w:rPr>
        <w:t xml:space="preserve"> </w:t>
      </w:r>
      <w:r w:rsidR="00E46FB4" w:rsidRPr="008E0867">
        <w:rPr>
          <w:rStyle w:val="Forte"/>
          <w:b w:val="0"/>
          <w:bCs w:val="0"/>
          <w:sz w:val="24"/>
          <w:szCs w:val="24"/>
        </w:rPr>
        <w:t>recursa</w:t>
      </w:r>
      <w:r w:rsidR="006A1020" w:rsidRPr="008E0867">
        <w:rPr>
          <w:rStyle w:val="Forte"/>
          <w:b w:val="0"/>
          <w:bCs w:val="0"/>
          <w:sz w:val="24"/>
          <w:szCs w:val="24"/>
        </w:rPr>
        <w:t>l</w:t>
      </w:r>
      <w:r w:rsidR="00000383" w:rsidRPr="008E0867">
        <w:rPr>
          <w:rStyle w:val="Forte"/>
          <w:b w:val="0"/>
          <w:bCs w:val="0"/>
          <w:sz w:val="24"/>
          <w:szCs w:val="24"/>
        </w:rPr>
        <w:t xml:space="preserve"> </w:t>
      </w:r>
      <w:r w:rsidR="00BA7E30" w:rsidRPr="008E0867">
        <w:rPr>
          <w:rStyle w:val="Forte"/>
          <w:b w:val="0"/>
          <w:bCs w:val="0"/>
          <w:sz w:val="24"/>
          <w:szCs w:val="24"/>
        </w:rPr>
        <w:t>p</w:t>
      </w:r>
      <w:r w:rsidR="00A24DFE">
        <w:rPr>
          <w:rStyle w:val="Forte"/>
          <w:b w:val="0"/>
          <w:bCs w:val="0"/>
          <w:sz w:val="24"/>
          <w:szCs w:val="24"/>
        </w:rPr>
        <w:t xml:space="preserve">or </w:t>
      </w:r>
      <w:r w:rsidR="00BA7E30" w:rsidRPr="008E0867">
        <w:rPr>
          <w:rStyle w:val="Forte"/>
          <w:b w:val="0"/>
          <w:bCs w:val="0"/>
          <w:sz w:val="24"/>
          <w:szCs w:val="24"/>
        </w:rPr>
        <w:t>licitante</w:t>
      </w:r>
      <w:r w:rsidR="00A24DFE">
        <w:rPr>
          <w:rStyle w:val="Forte"/>
          <w:b w:val="0"/>
          <w:bCs w:val="0"/>
          <w:sz w:val="24"/>
          <w:szCs w:val="24"/>
        </w:rPr>
        <w:t xml:space="preserve"> em razão do Memorial Descritivo/Termo de Referência ter constado cláusulas de habilitação. </w:t>
      </w:r>
    </w:p>
    <w:p w14:paraId="602D5A4C" w14:textId="62E6D14F" w:rsidR="004C07D6" w:rsidRPr="008E0867" w:rsidRDefault="00A24DFE" w:rsidP="00301F8D">
      <w:pPr>
        <w:spacing w:line="360" w:lineRule="auto"/>
        <w:ind w:firstLine="708"/>
        <w:jc w:val="both"/>
        <w:rPr>
          <w:rStyle w:val="Forte"/>
          <w:b w:val="0"/>
          <w:bCs w:val="0"/>
          <w:sz w:val="24"/>
          <w:szCs w:val="24"/>
        </w:rPr>
      </w:pPr>
      <w:r>
        <w:rPr>
          <w:rStyle w:val="Forte"/>
          <w:b w:val="0"/>
          <w:bCs w:val="0"/>
          <w:sz w:val="24"/>
          <w:szCs w:val="24"/>
        </w:rPr>
        <w:t xml:space="preserve">Ocorre que </w:t>
      </w:r>
      <w:proofErr w:type="gramStart"/>
      <w:r>
        <w:rPr>
          <w:rStyle w:val="Forte"/>
          <w:b w:val="0"/>
          <w:bCs w:val="0"/>
          <w:sz w:val="24"/>
          <w:szCs w:val="24"/>
        </w:rPr>
        <w:t>constata-se</w:t>
      </w:r>
      <w:proofErr w:type="gramEnd"/>
      <w:r>
        <w:rPr>
          <w:rStyle w:val="Forte"/>
          <w:b w:val="0"/>
          <w:bCs w:val="0"/>
          <w:sz w:val="24"/>
          <w:szCs w:val="24"/>
        </w:rPr>
        <w:t xml:space="preserve"> uma divergência entre o “Anexo III” e “Anexo I”.</w:t>
      </w:r>
    </w:p>
    <w:p w14:paraId="3DF12E3E" w14:textId="77777777" w:rsidR="00E339BC" w:rsidRPr="008E0867" w:rsidRDefault="00E339BC" w:rsidP="00E339BC">
      <w:pPr>
        <w:spacing w:line="360" w:lineRule="auto"/>
        <w:ind w:firstLine="708"/>
        <w:jc w:val="both"/>
        <w:rPr>
          <w:rStyle w:val="Forte"/>
          <w:b w:val="0"/>
          <w:bCs w:val="0"/>
          <w:sz w:val="24"/>
          <w:szCs w:val="24"/>
        </w:rPr>
      </w:pPr>
      <w:r w:rsidRPr="008E0867">
        <w:rPr>
          <w:rStyle w:val="Forte"/>
          <w:b w:val="0"/>
          <w:bCs w:val="0"/>
          <w:sz w:val="24"/>
          <w:szCs w:val="24"/>
        </w:rPr>
        <w:t>É o relatório.</w:t>
      </w:r>
    </w:p>
    <w:p w14:paraId="6887DFC1" w14:textId="77777777" w:rsidR="00E339BC" w:rsidRPr="008E0867" w:rsidRDefault="00E339BC" w:rsidP="00E339BC">
      <w:pPr>
        <w:spacing w:line="360" w:lineRule="auto"/>
        <w:jc w:val="both"/>
        <w:rPr>
          <w:rStyle w:val="Forte"/>
          <w:sz w:val="24"/>
          <w:szCs w:val="24"/>
        </w:rPr>
      </w:pPr>
    </w:p>
    <w:p w14:paraId="3F9FEA25" w14:textId="48A295CF" w:rsidR="00E339BC" w:rsidRPr="008E0867" w:rsidRDefault="004B658B" w:rsidP="00E339BC">
      <w:pPr>
        <w:spacing w:line="360" w:lineRule="auto"/>
        <w:jc w:val="both"/>
        <w:rPr>
          <w:rStyle w:val="Forte"/>
          <w:sz w:val="24"/>
          <w:szCs w:val="24"/>
        </w:rPr>
      </w:pPr>
      <w:r w:rsidRPr="008E0867">
        <w:rPr>
          <w:rStyle w:val="Forte"/>
          <w:sz w:val="24"/>
          <w:szCs w:val="24"/>
        </w:rPr>
        <w:t>2</w:t>
      </w:r>
      <w:r w:rsidR="00E339BC" w:rsidRPr="008E0867">
        <w:rPr>
          <w:rStyle w:val="Forte"/>
          <w:sz w:val="24"/>
          <w:szCs w:val="24"/>
        </w:rPr>
        <w:t>. DO MÉRITO:</w:t>
      </w:r>
    </w:p>
    <w:p w14:paraId="3A38BDCD" w14:textId="7A16D078" w:rsidR="0012585D" w:rsidRPr="008E0867" w:rsidRDefault="00CC2FFD" w:rsidP="0012585D">
      <w:pPr>
        <w:spacing w:line="360" w:lineRule="auto"/>
        <w:ind w:firstLine="708"/>
        <w:jc w:val="both"/>
        <w:rPr>
          <w:sz w:val="24"/>
          <w:szCs w:val="24"/>
        </w:rPr>
      </w:pPr>
      <w:r w:rsidRPr="00300C6D">
        <w:rPr>
          <w:sz w:val="24"/>
          <w:szCs w:val="24"/>
        </w:rPr>
        <w:t xml:space="preserve">Preliminarmente, </w:t>
      </w:r>
      <w:r w:rsidR="0012585D" w:rsidRPr="008E0867">
        <w:rPr>
          <w:sz w:val="24"/>
          <w:szCs w:val="24"/>
        </w:rPr>
        <w:t xml:space="preserve">a sequência de atos administrativos a serem realizados pela Administração em uma licitação devem ser pautados precipuamente pelo princípio da Legalidade, expressamente previsto no artigo 37, </w:t>
      </w:r>
      <w:r w:rsidR="0012585D" w:rsidRPr="008E0867">
        <w:rPr>
          <w:i/>
          <w:iCs/>
          <w:sz w:val="24"/>
          <w:szCs w:val="24"/>
        </w:rPr>
        <w:t>caput,</w:t>
      </w:r>
      <w:r w:rsidR="0012585D" w:rsidRPr="008E0867">
        <w:rPr>
          <w:sz w:val="24"/>
          <w:szCs w:val="24"/>
        </w:rPr>
        <w:t xml:space="preserve"> da Constituição Federal, o qual esclarece que a administração Pública está altamente atrelada a lei e somente pode fazer aquilo em que a lei </w:t>
      </w:r>
      <w:r w:rsidR="0012585D" w:rsidRPr="008E0867">
        <w:rPr>
          <w:sz w:val="24"/>
          <w:szCs w:val="24"/>
        </w:rPr>
        <w:lastRenderedPageBreak/>
        <w:t>permitir, nas palavras do Insigne doutrinador Hely Lopes Meirelles, em sua obra Direito Administrativa Brasileiro (25. ed. São Paulo: Malheiros, 2000):</w:t>
      </w:r>
    </w:p>
    <w:p w14:paraId="62EB6FD1" w14:textId="77777777" w:rsidR="0012585D" w:rsidRPr="008E0867" w:rsidRDefault="0012585D" w:rsidP="0012585D">
      <w:pPr>
        <w:ind w:left="2268"/>
        <w:jc w:val="both"/>
        <w:rPr>
          <w:sz w:val="24"/>
          <w:szCs w:val="24"/>
        </w:rPr>
      </w:pPr>
      <w:r w:rsidRPr="008E0867">
        <w:rPr>
          <w:sz w:val="24"/>
          <w:szCs w:val="24"/>
        </w:rPr>
        <w:t xml:space="preserve">“Na Administração Pública não há liberdade nem vontade pessoal. Enquanto na administração particular é lícito fazer tudo que a lei não proíbe, </w:t>
      </w:r>
      <w:r w:rsidRPr="008E0867">
        <w:rPr>
          <w:sz w:val="24"/>
          <w:szCs w:val="24"/>
          <w:u w:val="single"/>
        </w:rPr>
        <w:t>na Administração Pública só é permitido fazer o que a lei autoriza</w:t>
      </w:r>
      <w:r w:rsidRPr="008E0867">
        <w:rPr>
          <w:sz w:val="24"/>
          <w:szCs w:val="24"/>
        </w:rPr>
        <w:t>”. (grifo nosso)</w:t>
      </w:r>
    </w:p>
    <w:p w14:paraId="7D2D7FBC" w14:textId="1773848C" w:rsidR="0012585D" w:rsidRPr="008E0867" w:rsidRDefault="0012585D" w:rsidP="0012585D">
      <w:pPr>
        <w:pStyle w:val="Default"/>
        <w:spacing w:line="360" w:lineRule="auto"/>
        <w:ind w:firstLine="708"/>
        <w:jc w:val="both"/>
        <w:rPr>
          <w:rFonts w:ascii="Times New Roman" w:hAnsi="Times New Roman" w:cs="Times New Roman"/>
          <w:color w:val="auto"/>
        </w:rPr>
      </w:pPr>
      <w:r w:rsidRPr="008E0867">
        <w:rPr>
          <w:rFonts w:ascii="Times New Roman" w:hAnsi="Times New Roman" w:cs="Times New Roman"/>
          <w:color w:val="auto"/>
        </w:rPr>
        <w:t xml:space="preserve">Igualmente, a lei nº. </w:t>
      </w:r>
      <w:r w:rsidR="00E323C8" w:rsidRPr="008E0867">
        <w:rPr>
          <w:rFonts w:ascii="Times New Roman" w:hAnsi="Times New Roman" w:cs="Times New Roman"/>
          <w:color w:val="auto"/>
        </w:rPr>
        <w:t>14.133/2021</w:t>
      </w:r>
      <w:r w:rsidRPr="008E0867">
        <w:rPr>
          <w:rFonts w:ascii="Times New Roman" w:hAnsi="Times New Roman" w:cs="Times New Roman"/>
          <w:color w:val="auto"/>
        </w:rPr>
        <w:t xml:space="preserve"> (lei geral de licitações</w:t>
      </w:r>
      <w:r w:rsidR="00E323C8" w:rsidRPr="008E0867">
        <w:rPr>
          <w:rFonts w:ascii="Times New Roman" w:hAnsi="Times New Roman" w:cs="Times New Roman"/>
          <w:color w:val="auto"/>
        </w:rPr>
        <w:t xml:space="preserve"> que fundamentou o certame</w:t>
      </w:r>
      <w:r w:rsidRPr="008E0867">
        <w:rPr>
          <w:rFonts w:ascii="Times New Roman" w:hAnsi="Times New Roman" w:cs="Times New Roman"/>
          <w:color w:val="auto"/>
        </w:rPr>
        <w:t>) estabelece a necessidade de observância dos princípios da vinculação ao instrumento convocatório, assim como legalidade e isonomia, nos seguintes termos:</w:t>
      </w:r>
    </w:p>
    <w:p w14:paraId="3A62429A" w14:textId="77777777" w:rsidR="00E323C8" w:rsidRPr="008E0867" w:rsidRDefault="00E323C8" w:rsidP="00E323C8">
      <w:pPr>
        <w:ind w:left="2268"/>
        <w:jc w:val="both"/>
        <w:rPr>
          <w:sz w:val="24"/>
          <w:szCs w:val="24"/>
        </w:rPr>
      </w:pPr>
      <w:r w:rsidRPr="008E0867">
        <w:rPr>
          <w:b/>
          <w:bCs/>
          <w:sz w:val="24"/>
          <w:szCs w:val="24"/>
        </w:rPr>
        <w:t>Art. 5º Na aplicação desta Lei, serão observados</w:t>
      </w:r>
      <w:r w:rsidRPr="008E0867">
        <w:rPr>
          <w:sz w:val="24"/>
          <w:szCs w:val="24"/>
        </w:rPr>
        <w:t xml:space="preserve"> os princípios da legalidade, da impessoalidade, da moralidade, da publicidade, da eficiência, do interesse público, da probidade administrativa, da igualdade, do planejamento, da transparência, da eficácia, da segregação de funções, da motivação, da </w:t>
      </w:r>
      <w:r w:rsidRPr="008E0867">
        <w:rPr>
          <w:b/>
          <w:bCs/>
          <w:sz w:val="24"/>
          <w:szCs w:val="24"/>
        </w:rPr>
        <w:t>vinculação ao edital</w:t>
      </w:r>
      <w:r w:rsidRPr="008E0867">
        <w:rPr>
          <w:sz w:val="24"/>
          <w:szCs w:val="24"/>
        </w:rPr>
        <w:t xml:space="preserve">, do </w:t>
      </w:r>
      <w:r w:rsidRPr="008E0867">
        <w:rPr>
          <w:b/>
          <w:bCs/>
          <w:sz w:val="24"/>
          <w:szCs w:val="24"/>
        </w:rPr>
        <w:t>julgamento objetivo</w:t>
      </w:r>
      <w:r w:rsidRPr="008E0867">
        <w:rPr>
          <w:sz w:val="24"/>
          <w:szCs w:val="24"/>
        </w:rPr>
        <w:t xml:space="preserve">, da segurança jurídica, da razoabilidade, </w:t>
      </w:r>
      <w:r w:rsidRPr="008E0867">
        <w:rPr>
          <w:b/>
          <w:bCs/>
          <w:sz w:val="24"/>
          <w:szCs w:val="24"/>
        </w:rPr>
        <w:t>da competitividade</w:t>
      </w:r>
      <w:r w:rsidRPr="008E0867">
        <w:rPr>
          <w:sz w:val="24"/>
          <w:szCs w:val="24"/>
        </w:rPr>
        <w:t xml:space="preserve">, da proporcionalidade, da celeridade, </w:t>
      </w:r>
      <w:r w:rsidRPr="008E0867">
        <w:rPr>
          <w:b/>
          <w:bCs/>
          <w:sz w:val="24"/>
          <w:szCs w:val="24"/>
        </w:rPr>
        <w:t>da economicidade</w:t>
      </w:r>
      <w:r w:rsidRPr="008E0867">
        <w:rPr>
          <w:sz w:val="24"/>
          <w:szCs w:val="24"/>
        </w:rPr>
        <w:t xml:space="preserve"> e do desenvolvimento nacional sustentável, assim como as disposições do </w:t>
      </w:r>
      <w:hyperlink r:id="rId8" w:history="1">
        <w:r w:rsidRPr="008E0867">
          <w:rPr>
            <w:sz w:val="24"/>
            <w:szCs w:val="24"/>
          </w:rPr>
          <w:t>Decreto-Lei nº 4.657, de 4 de setembro de 1942 (Lei de Introdução às Normas do Direito Brasileiro)</w:t>
        </w:r>
      </w:hyperlink>
      <w:r w:rsidRPr="008E0867">
        <w:rPr>
          <w:sz w:val="24"/>
          <w:szCs w:val="24"/>
        </w:rPr>
        <w:t>.</w:t>
      </w:r>
    </w:p>
    <w:p w14:paraId="7F6B0266" w14:textId="77777777" w:rsidR="0012585D" w:rsidRPr="008E0867" w:rsidRDefault="0012585D" w:rsidP="0012585D">
      <w:pPr>
        <w:pStyle w:val="Default"/>
        <w:spacing w:line="360" w:lineRule="auto"/>
        <w:ind w:firstLine="708"/>
        <w:jc w:val="both"/>
        <w:rPr>
          <w:rFonts w:ascii="Times New Roman" w:hAnsi="Times New Roman" w:cs="Times New Roman"/>
          <w:color w:val="auto"/>
        </w:rPr>
      </w:pPr>
      <w:r w:rsidRPr="008E0867">
        <w:rPr>
          <w:rFonts w:ascii="Times New Roman" w:hAnsi="Times New Roman" w:cs="Times New Roman"/>
          <w:color w:val="auto"/>
        </w:rPr>
        <w:t xml:space="preserve">Assim, da leitura dos artigos acima, conclui-se facilmente que a Administração Pública, sob pena de ilegalidade do ato e quebra da isonomia, </w:t>
      </w:r>
      <w:r w:rsidRPr="008E0867">
        <w:rPr>
          <w:rFonts w:ascii="Times New Roman" w:hAnsi="Times New Roman" w:cs="Times New Roman"/>
          <w:b/>
          <w:bCs/>
          <w:color w:val="auto"/>
        </w:rPr>
        <w:t>NÃO PODE SE AFASTAR DO JULGAMENTO OBJETIVO DO CERTAME OU VINCULAÇÃO AO EDITAL</w:t>
      </w:r>
      <w:r w:rsidRPr="008E0867">
        <w:rPr>
          <w:rFonts w:ascii="Times New Roman" w:hAnsi="Times New Roman" w:cs="Times New Roman"/>
          <w:color w:val="auto"/>
        </w:rPr>
        <w:t>.</w:t>
      </w:r>
    </w:p>
    <w:p w14:paraId="4747F672" w14:textId="77777777" w:rsidR="0012585D" w:rsidRPr="008E0867" w:rsidRDefault="0012585D" w:rsidP="0012585D">
      <w:pPr>
        <w:pStyle w:val="Default"/>
        <w:spacing w:line="360" w:lineRule="auto"/>
        <w:ind w:firstLine="708"/>
        <w:jc w:val="both"/>
        <w:rPr>
          <w:rFonts w:ascii="Times New Roman" w:hAnsi="Times New Roman" w:cs="Times New Roman"/>
        </w:rPr>
      </w:pPr>
      <w:r w:rsidRPr="008E0867">
        <w:rPr>
          <w:rFonts w:ascii="Times New Roman" w:hAnsi="Times New Roman" w:cs="Times New Roman"/>
        </w:rPr>
        <w:t xml:space="preserve">Corroborando com tal entendimento, o Ilustre Doutrinador Matheus Carvalho, em sua obra “Manual de Direito Administrativo”, Ed. </w:t>
      </w:r>
      <w:proofErr w:type="spellStart"/>
      <w:r w:rsidRPr="008E0867">
        <w:rPr>
          <w:rFonts w:ascii="Times New Roman" w:hAnsi="Times New Roman" w:cs="Times New Roman"/>
          <w:i/>
          <w:iCs/>
        </w:rPr>
        <w:t>Jus</w:t>
      </w:r>
      <w:r w:rsidRPr="008E0867">
        <w:rPr>
          <w:rFonts w:ascii="Times New Roman" w:hAnsi="Times New Roman" w:cs="Times New Roman"/>
        </w:rPr>
        <w:t>Podivm</w:t>
      </w:r>
      <w:proofErr w:type="spellEnd"/>
      <w:r w:rsidRPr="008E0867">
        <w:rPr>
          <w:rFonts w:ascii="Times New Roman" w:hAnsi="Times New Roman" w:cs="Times New Roman"/>
        </w:rPr>
        <w:t xml:space="preserve">, 9ª Edição, ano 2021, assim nos esclarece: </w:t>
      </w:r>
    </w:p>
    <w:p w14:paraId="2EC642C4" w14:textId="77777777" w:rsidR="0012585D" w:rsidRPr="008E0867" w:rsidRDefault="0012585D" w:rsidP="0012585D">
      <w:pPr>
        <w:pStyle w:val="Default"/>
        <w:ind w:left="2268"/>
        <w:jc w:val="both"/>
        <w:rPr>
          <w:rFonts w:ascii="Times New Roman" w:hAnsi="Times New Roman" w:cs="Times New Roman"/>
        </w:rPr>
      </w:pPr>
      <w:r w:rsidRPr="008E0867">
        <w:rPr>
          <w:rFonts w:ascii="Times New Roman" w:hAnsi="Times New Roman" w:cs="Times New Roman"/>
        </w:rPr>
        <w:t xml:space="preserve">“A elaboração do edital pela Administração pública é livre e discricionária, na busca por satisfazer os interesses da coletividade; todavia, </w:t>
      </w:r>
      <w:r w:rsidRPr="008E0867">
        <w:rPr>
          <w:rFonts w:ascii="Times New Roman" w:hAnsi="Times New Roman" w:cs="Times New Roman"/>
          <w:b/>
          <w:bCs/>
        </w:rPr>
        <w:t>APÓS A SUA PUBLICAÇÃO, A ADMINISTRAÇÃO FICA VINCULADA ÀQUILO QUE FOI PUBLICADO</w:t>
      </w:r>
      <w:r w:rsidRPr="008E0867">
        <w:rPr>
          <w:rFonts w:ascii="Times New Roman" w:hAnsi="Times New Roman" w:cs="Times New Roman"/>
        </w:rPr>
        <w:t xml:space="preserve">. Com efeito, a discricionariedade administrativa se encerra com a elaboração do edital e, </w:t>
      </w:r>
      <w:r w:rsidRPr="008E0867">
        <w:rPr>
          <w:rFonts w:ascii="Times New Roman" w:hAnsi="Times New Roman" w:cs="Times New Roman"/>
          <w:b/>
          <w:bCs/>
        </w:rPr>
        <w:t>UMA VEZ PUBLICADO, SEU CUMPRIMENTO É IMPERATIVO</w:t>
      </w:r>
      <w:r w:rsidRPr="008E0867">
        <w:rPr>
          <w:rFonts w:ascii="Times New Roman" w:hAnsi="Times New Roman" w:cs="Times New Roman"/>
        </w:rPr>
        <w:t>”. (destaquei)</w:t>
      </w:r>
    </w:p>
    <w:p w14:paraId="1385ABC3" w14:textId="77777777" w:rsidR="00A24DFE" w:rsidRDefault="00A24DFE" w:rsidP="0012585D">
      <w:pPr>
        <w:spacing w:line="360" w:lineRule="auto"/>
        <w:ind w:firstLine="708"/>
        <w:jc w:val="both"/>
        <w:rPr>
          <w:rStyle w:val="Forte"/>
          <w:b w:val="0"/>
          <w:bCs w:val="0"/>
          <w:sz w:val="24"/>
          <w:szCs w:val="24"/>
        </w:rPr>
      </w:pPr>
    </w:p>
    <w:p w14:paraId="592EA14D" w14:textId="74C70E8A" w:rsidR="00A24DFE" w:rsidRDefault="00A24DFE" w:rsidP="0012585D">
      <w:pPr>
        <w:spacing w:line="360" w:lineRule="auto"/>
        <w:ind w:firstLine="708"/>
        <w:jc w:val="both"/>
        <w:rPr>
          <w:rStyle w:val="Forte"/>
          <w:b w:val="0"/>
          <w:bCs w:val="0"/>
          <w:sz w:val="24"/>
          <w:szCs w:val="24"/>
        </w:rPr>
      </w:pPr>
      <w:r>
        <w:rPr>
          <w:rStyle w:val="Forte"/>
          <w:b w:val="0"/>
          <w:bCs w:val="0"/>
          <w:sz w:val="24"/>
          <w:szCs w:val="24"/>
        </w:rPr>
        <w:t>Ocorre que o Termo de Referência assim contou expressamente:</w:t>
      </w:r>
    </w:p>
    <w:p w14:paraId="2A1A3FAB" w14:textId="77777777" w:rsidR="00A24DFE" w:rsidRPr="00A24DFE" w:rsidRDefault="00A24DFE" w:rsidP="00A24DFE">
      <w:pPr>
        <w:numPr>
          <w:ilvl w:val="0"/>
          <w:numId w:val="4"/>
        </w:numPr>
        <w:spacing w:line="360" w:lineRule="auto"/>
        <w:ind w:left="2268"/>
        <w:jc w:val="both"/>
        <w:rPr>
          <w:sz w:val="24"/>
          <w:szCs w:val="24"/>
        </w:rPr>
      </w:pPr>
      <w:r w:rsidRPr="00A24DFE">
        <w:rPr>
          <w:sz w:val="24"/>
          <w:szCs w:val="24"/>
        </w:rPr>
        <w:t>O licitante deverá comprovar a execução de objeto semelhante, sendo que esta documentação deverá ser apresentada pelas concorrentes, sendo exigidos, obrigatoriamente, os seguintes itens mínimos:</w:t>
      </w:r>
    </w:p>
    <w:p w14:paraId="4C094B47" w14:textId="77777777" w:rsidR="00A24DFE" w:rsidRPr="00A24DFE" w:rsidRDefault="00A24DFE" w:rsidP="00A24DFE">
      <w:pPr>
        <w:numPr>
          <w:ilvl w:val="0"/>
          <w:numId w:val="5"/>
        </w:numPr>
        <w:spacing w:line="360" w:lineRule="auto"/>
        <w:ind w:left="2268" w:firstLine="0"/>
        <w:jc w:val="both"/>
        <w:rPr>
          <w:sz w:val="24"/>
          <w:szCs w:val="24"/>
        </w:rPr>
      </w:pPr>
      <w:proofErr w:type="spellStart"/>
      <w:r w:rsidRPr="00A24DFE">
        <w:rPr>
          <w:sz w:val="24"/>
          <w:szCs w:val="24"/>
          <w:u w:val="single"/>
        </w:rPr>
        <w:lastRenderedPageBreak/>
        <w:t>Telhamento</w:t>
      </w:r>
      <w:proofErr w:type="spellEnd"/>
      <w:r w:rsidRPr="00A24DFE">
        <w:rPr>
          <w:sz w:val="24"/>
          <w:szCs w:val="24"/>
        </w:rPr>
        <w:t xml:space="preserve"> – Área mínima 1.140,00 m² (50% da somatória dos itens 4.4, 4.5, 4.7, 4.8 e 4.9 do orçamento);</w:t>
      </w:r>
    </w:p>
    <w:p w14:paraId="1B99B990" w14:textId="77777777" w:rsidR="00A24DFE" w:rsidRPr="00A24DFE" w:rsidRDefault="00A24DFE" w:rsidP="00A24DFE">
      <w:pPr>
        <w:numPr>
          <w:ilvl w:val="0"/>
          <w:numId w:val="5"/>
        </w:numPr>
        <w:spacing w:line="360" w:lineRule="auto"/>
        <w:ind w:left="2268"/>
        <w:jc w:val="both"/>
        <w:rPr>
          <w:sz w:val="24"/>
          <w:szCs w:val="24"/>
        </w:rPr>
      </w:pPr>
      <w:r w:rsidRPr="00A24DFE">
        <w:rPr>
          <w:sz w:val="24"/>
          <w:szCs w:val="24"/>
          <w:u w:val="single"/>
        </w:rPr>
        <w:t>Pintura</w:t>
      </w:r>
      <w:r w:rsidRPr="00A24DFE">
        <w:rPr>
          <w:sz w:val="24"/>
          <w:szCs w:val="24"/>
        </w:rPr>
        <w:t xml:space="preserve"> – Área mínima de 10.150,00 m² (50% da somatória dos itens 13.4 a 13.10 do orçamento).</w:t>
      </w:r>
    </w:p>
    <w:p w14:paraId="3AB20D08" w14:textId="7F110DA5" w:rsidR="00A24DFE" w:rsidRDefault="00A24DFE" w:rsidP="00A24DFE">
      <w:pPr>
        <w:spacing w:line="360" w:lineRule="auto"/>
        <w:ind w:firstLine="708"/>
        <w:jc w:val="both"/>
        <w:rPr>
          <w:sz w:val="24"/>
          <w:szCs w:val="24"/>
        </w:rPr>
      </w:pPr>
      <w:r>
        <w:rPr>
          <w:sz w:val="24"/>
          <w:szCs w:val="24"/>
        </w:rPr>
        <w:t>V</w:t>
      </w:r>
      <w:r w:rsidRPr="00080938">
        <w:rPr>
          <w:sz w:val="24"/>
          <w:szCs w:val="24"/>
        </w:rPr>
        <w:t xml:space="preserve">ejam que a Administração </w:t>
      </w:r>
      <w:proofErr w:type="spellStart"/>
      <w:proofErr w:type="gramStart"/>
      <w:r w:rsidRPr="00080938">
        <w:rPr>
          <w:sz w:val="24"/>
          <w:szCs w:val="24"/>
        </w:rPr>
        <w:t>esta</w:t>
      </w:r>
      <w:proofErr w:type="spellEnd"/>
      <w:proofErr w:type="gramEnd"/>
      <w:r w:rsidRPr="00080938">
        <w:rPr>
          <w:sz w:val="24"/>
          <w:szCs w:val="24"/>
        </w:rPr>
        <w:t xml:space="preserve"> exigindo itens de qualificação técnica sobre Ata de Registro de Preços, consequentemente, sequer poderão ser executados, isso porque</w:t>
      </w:r>
      <w:r>
        <w:rPr>
          <w:sz w:val="24"/>
          <w:szCs w:val="24"/>
        </w:rPr>
        <w:t xml:space="preserve"> estamos tratando de uma ata de registro, cujo itens poderão ser utilizados (ou não)</w:t>
      </w:r>
      <w:r>
        <w:rPr>
          <w:sz w:val="24"/>
          <w:szCs w:val="24"/>
        </w:rPr>
        <w:t>.</w:t>
      </w:r>
    </w:p>
    <w:p w14:paraId="06FC1A65" w14:textId="56AF9FDE" w:rsidR="0012585D" w:rsidRPr="008E0867" w:rsidRDefault="00A24DFE" w:rsidP="0012585D">
      <w:pPr>
        <w:spacing w:line="360" w:lineRule="auto"/>
        <w:ind w:firstLine="708"/>
        <w:jc w:val="both"/>
        <w:rPr>
          <w:rStyle w:val="Forte"/>
          <w:b w:val="0"/>
          <w:bCs w:val="0"/>
          <w:sz w:val="24"/>
          <w:szCs w:val="24"/>
        </w:rPr>
      </w:pPr>
      <w:r>
        <w:rPr>
          <w:rStyle w:val="Forte"/>
          <w:b w:val="0"/>
          <w:bCs w:val="0"/>
          <w:sz w:val="24"/>
          <w:szCs w:val="24"/>
        </w:rPr>
        <w:t>C</w:t>
      </w:r>
      <w:r w:rsidR="0012585D" w:rsidRPr="008E0867">
        <w:rPr>
          <w:rStyle w:val="Forte"/>
          <w:b w:val="0"/>
          <w:bCs w:val="0"/>
          <w:sz w:val="24"/>
          <w:szCs w:val="24"/>
        </w:rPr>
        <w:t>umpre informar também que a posição consolidada pela Corte de Contas e também pelo poder Judiciário se dá no sentido de que a Administração não pode agir com EXCESSO DE FORMALISMO, sob pena de nulidade do ato e responsabilização aos agentes envolvidos.</w:t>
      </w:r>
    </w:p>
    <w:p w14:paraId="7AE4C551" w14:textId="77777777" w:rsidR="00A24DFE" w:rsidRPr="00A24DFE" w:rsidRDefault="00A24DFE" w:rsidP="00A24DFE">
      <w:pPr>
        <w:spacing w:line="360" w:lineRule="auto"/>
        <w:ind w:left="2268"/>
        <w:jc w:val="both"/>
        <w:rPr>
          <w:sz w:val="24"/>
          <w:szCs w:val="24"/>
        </w:rPr>
      </w:pPr>
      <w:r w:rsidRPr="00A24DFE">
        <w:rPr>
          <w:sz w:val="24"/>
          <w:szCs w:val="24"/>
        </w:rPr>
        <w:t>Art. 9º É vedado ao agente público designado para atuar na área de licitações e contratos, ressalvados os casos previstos em lei:</w:t>
      </w:r>
    </w:p>
    <w:p w14:paraId="3572B9E0" w14:textId="77777777" w:rsidR="00A24DFE" w:rsidRPr="00A24DFE" w:rsidRDefault="00A24DFE" w:rsidP="00A24DFE">
      <w:pPr>
        <w:spacing w:line="360" w:lineRule="auto"/>
        <w:ind w:left="2268"/>
        <w:jc w:val="both"/>
        <w:rPr>
          <w:sz w:val="24"/>
          <w:szCs w:val="24"/>
        </w:rPr>
      </w:pPr>
      <w:bookmarkStart w:id="2" w:name="art9i"/>
      <w:bookmarkEnd w:id="2"/>
      <w:r w:rsidRPr="00A24DFE">
        <w:rPr>
          <w:sz w:val="24"/>
          <w:szCs w:val="24"/>
        </w:rPr>
        <w:t xml:space="preserve">I - </w:t>
      </w:r>
      <w:proofErr w:type="gramStart"/>
      <w:r w:rsidRPr="00A24DFE">
        <w:rPr>
          <w:sz w:val="24"/>
          <w:szCs w:val="24"/>
        </w:rPr>
        <w:t>admitir</w:t>
      </w:r>
      <w:proofErr w:type="gramEnd"/>
      <w:r w:rsidRPr="00A24DFE">
        <w:rPr>
          <w:sz w:val="24"/>
          <w:szCs w:val="24"/>
        </w:rPr>
        <w:t>, prever, incluir ou tolerar, nos atos que praticar, situações que:</w:t>
      </w:r>
    </w:p>
    <w:p w14:paraId="0D518D30" w14:textId="77777777" w:rsidR="00A24DFE" w:rsidRPr="00A24DFE" w:rsidRDefault="00A24DFE" w:rsidP="00A24DFE">
      <w:pPr>
        <w:spacing w:line="360" w:lineRule="auto"/>
        <w:ind w:left="2268"/>
        <w:jc w:val="both"/>
        <w:rPr>
          <w:sz w:val="24"/>
          <w:szCs w:val="24"/>
        </w:rPr>
      </w:pPr>
      <w:bookmarkStart w:id="3" w:name="art9ia"/>
      <w:bookmarkEnd w:id="3"/>
      <w:r w:rsidRPr="00A24DFE">
        <w:rPr>
          <w:sz w:val="24"/>
          <w:szCs w:val="24"/>
        </w:rPr>
        <w:t>a) comprometam, restrinjam ou frustrem o caráter competitivo do processo licitatório, inclusive nos casos de participação de sociedades cooperativas;</w:t>
      </w:r>
    </w:p>
    <w:p w14:paraId="2DBD9D06" w14:textId="0974EF02" w:rsidR="00A24DFE" w:rsidRDefault="00A24DFE" w:rsidP="00A040F8">
      <w:pPr>
        <w:spacing w:line="360" w:lineRule="auto"/>
        <w:ind w:firstLine="708"/>
        <w:jc w:val="both"/>
        <w:rPr>
          <w:rStyle w:val="Forte"/>
          <w:b w:val="0"/>
          <w:bCs w:val="0"/>
          <w:sz w:val="24"/>
          <w:szCs w:val="24"/>
        </w:rPr>
      </w:pPr>
      <w:bookmarkStart w:id="4" w:name="art9ib"/>
      <w:bookmarkEnd w:id="4"/>
      <w:r>
        <w:rPr>
          <w:rStyle w:val="Forte"/>
          <w:b w:val="0"/>
          <w:bCs w:val="0"/>
          <w:sz w:val="24"/>
          <w:szCs w:val="24"/>
        </w:rPr>
        <w:t>Não só bastasse isso e para piorar ainda mais a situação vejam que o Anexo III constou cláusulas de Habilitação que divergem do Anexo I (Termo de Referência), consequentemente, opino, desde já, pela ANULAÇÃO DO Edital, isso porque as cláusulas são divergentes entre si.</w:t>
      </w:r>
    </w:p>
    <w:p w14:paraId="1BA6E279" w14:textId="244819A2" w:rsidR="0012585D" w:rsidRPr="008E0867" w:rsidRDefault="0012585D" w:rsidP="009F1B9A">
      <w:pPr>
        <w:spacing w:line="360" w:lineRule="auto"/>
        <w:ind w:firstLine="708"/>
        <w:jc w:val="both"/>
        <w:rPr>
          <w:rStyle w:val="Forte"/>
          <w:b w:val="0"/>
          <w:bCs w:val="0"/>
          <w:sz w:val="24"/>
          <w:szCs w:val="24"/>
        </w:rPr>
      </w:pPr>
      <w:r w:rsidRPr="008E0867">
        <w:rPr>
          <w:rStyle w:val="Forte"/>
          <w:b w:val="0"/>
          <w:bCs w:val="0"/>
          <w:sz w:val="24"/>
          <w:szCs w:val="24"/>
        </w:rPr>
        <w:t>Dadas essas considerações, passaremos a conclusão.</w:t>
      </w:r>
    </w:p>
    <w:p w14:paraId="498BB6FE" w14:textId="77777777" w:rsidR="00F61062" w:rsidRDefault="00F61062" w:rsidP="0012585D">
      <w:pPr>
        <w:spacing w:line="360" w:lineRule="auto"/>
        <w:jc w:val="both"/>
        <w:rPr>
          <w:rStyle w:val="Forte"/>
          <w:sz w:val="24"/>
          <w:szCs w:val="24"/>
        </w:rPr>
      </w:pPr>
    </w:p>
    <w:p w14:paraId="14542A08" w14:textId="44B75D86" w:rsidR="0012585D" w:rsidRPr="008E0867" w:rsidRDefault="0012585D" w:rsidP="0012585D">
      <w:pPr>
        <w:spacing w:line="360" w:lineRule="auto"/>
        <w:jc w:val="both"/>
        <w:rPr>
          <w:rStyle w:val="Forte"/>
          <w:sz w:val="24"/>
          <w:szCs w:val="24"/>
        </w:rPr>
      </w:pPr>
      <w:r w:rsidRPr="008E0867">
        <w:rPr>
          <w:rStyle w:val="Forte"/>
          <w:sz w:val="24"/>
          <w:szCs w:val="24"/>
        </w:rPr>
        <w:t xml:space="preserve">3. DA DECISÃO </w:t>
      </w:r>
    </w:p>
    <w:p w14:paraId="19C74884" w14:textId="4AF83AF4" w:rsidR="00667C80" w:rsidRPr="008E0867" w:rsidRDefault="0012585D" w:rsidP="004C28D9">
      <w:pPr>
        <w:spacing w:line="360" w:lineRule="auto"/>
        <w:ind w:firstLine="708"/>
        <w:jc w:val="both"/>
        <w:rPr>
          <w:sz w:val="24"/>
          <w:szCs w:val="24"/>
        </w:rPr>
      </w:pPr>
      <w:r w:rsidRPr="008E0867">
        <w:rPr>
          <w:rStyle w:val="Forte"/>
          <w:b w:val="0"/>
          <w:bCs w:val="0"/>
          <w:sz w:val="24"/>
          <w:szCs w:val="24"/>
        </w:rPr>
        <w:t xml:space="preserve">Posto isso, pelos fundamentos acima delineados, OPINO </w:t>
      </w:r>
      <w:r w:rsidR="003817B4">
        <w:rPr>
          <w:rStyle w:val="Forte"/>
          <w:b w:val="0"/>
          <w:bCs w:val="0"/>
          <w:sz w:val="24"/>
          <w:szCs w:val="24"/>
        </w:rPr>
        <w:t xml:space="preserve">e </w:t>
      </w:r>
      <w:r w:rsidR="007A4564">
        <w:rPr>
          <w:rStyle w:val="Forte"/>
          <w:b w:val="0"/>
          <w:bCs w:val="0"/>
          <w:sz w:val="24"/>
          <w:szCs w:val="24"/>
        </w:rPr>
        <w:t>oriento pela</w:t>
      </w:r>
      <w:r w:rsidR="004C28D9">
        <w:rPr>
          <w:rStyle w:val="Forte"/>
          <w:b w:val="0"/>
          <w:bCs w:val="0"/>
          <w:sz w:val="24"/>
          <w:szCs w:val="24"/>
        </w:rPr>
        <w:t xml:space="preserve"> Anulação integral do </w:t>
      </w:r>
      <w:r w:rsidR="007A4564">
        <w:rPr>
          <w:rStyle w:val="Forte"/>
          <w:b w:val="0"/>
          <w:bCs w:val="0"/>
          <w:sz w:val="24"/>
          <w:szCs w:val="24"/>
        </w:rPr>
        <w:t xml:space="preserve">Edital de </w:t>
      </w:r>
      <w:r w:rsidR="004C28D9">
        <w:rPr>
          <w:rStyle w:val="Forte"/>
          <w:b w:val="0"/>
          <w:bCs w:val="0"/>
          <w:sz w:val="24"/>
          <w:szCs w:val="24"/>
        </w:rPr>
        <w:t>Pregão Eletrônico nº. 150/2025</w:t>
      </w:r>
      <w:r w:rsidR="007A4564">
        <w:rPr>
          <w:rStyle w:val="Forte"/>
          <w:b w:val="0"/>
          <w:bCs w:val="0"/>
          <w:sz w:val="24"/>
          <w:szCs w:val="24"/>
        </w:rPr>
        <w:t>, isso porque constou cláusulas divergentes entre si e que restringem a competitividade nos moldes acima mencionados.</w:t>
      </w:r>
    </w:p>
    <w:p w14:paraId="262980F3" w14:textId="1F25A57B" w:rsidR="008E0867" w:rsidRPr="001C6589" w:rsidRDefault="008E0867" w:rsidP="00F61062">
      <w:pPr>
        <w:spacing w:line="360" w:lineRule="auto"/>
        <w:jc w:val="center"/>
        <w:rPr>
          <w:rStyle w:val="Forte"/>
          <w:b w:val="0"/>
          <w:bCs w:val="0"/>
          <w:sz w:val="24"/>
          <w:szCs w:val="24"/>
        </w:rPr>
      </w:pPr>
      <w:r w:rsidRPr="001C6589">
        <w:rPr>
          <w:rStyle w:val="Forte"/>
          <w:b w:val="0"/>
          <w:bCs w:val="0"/>
          <w:sz w:val="24"/>
          <w:szCs w:val="24"/>
        </w:rPr>
        <w:t>Santo Antônio de Posse</w:t>
      </w:r>
      <w:r w:rsidR="00667C80">
        <w:rPr>
          <w:rStyle w:val="Forte"/>
          <w:b w:val="0"/>
          <w:bCs w:val="0"/>
          <w:sz w:val="24"/>
          <w:szCs w:val="24"/>
        </w:rPr>
        <w:t xml:space="preserve">, </w:t>
      </w:r>
      <w:r w:rsidR="000377E3">
        <w:rPr>
          <w:rStyle w:val="Forte"/>
          <w:b w:val="0"/>
          <w:bCs w:val="0"/>
          <w:sz w:val="24"/>
          <w:szCs w:val="24"/>
        </w:rPr>
        <w:t>3 de outubro de 2025</w:t>
      </w:r>
      <w:r w:rsidRPr="001C6589">
        <w:rPr>
          <w:rStyle w:val="Forte"/>
          <w:b w:val="0"/>
          <w:bCs w:val="0"/>
          <w:sz w:val="24"/>
          <w:szCs w:val="24"/>
        </w:rPr>
        <w:t>.</w:t>
      </w:r>
    </w:p>
    <w:p w14:paraId="2144A540" w14:textId="77777777" w:rsidR="008E0867" w:rsidRPr="001C6589" w:rsidRDefault="008E0867" w:rsidP="00F61062">
      <w:pPr>
        <w:jc w:val="center"/>
        <w:rPr>
          <w:rStyle w:val="Forte"/>
          <w:b w:val="0"/>
          <w:bCs w:val="0"/>
          <w:sz w:val="24"/>
          <w:szCs w:val="24"/>
        </w:rPr>
      </w:pPr>
    </w:p>
    <w:p w14:paraId="618439DA" w14:textId="77777777" w:rsidR="008E0867" w:rsidRPr="001C6589" w:rsidRDefault="008E0867" w:rsidP="00F61062">
      <w:pPr>
        <w:jc w:val="center"/>
        <w:rPr>
          <w:rStyle w:val="Forte"/>
          <w:b w:val="0"/>
          <w:bCs w:val="0"/>
          <w:sz w:val="24"/>
          <w:szCs w:val="24"/>
        </w:rPr>
      </w:pPr>
    </w:p>
    <w:p w14:paraId="28AC437A" w14:textId="77777777" w:rsidR="008E0867" w:rsidRPr="001C6589" w:rsidRDefault="008E0867" w:rsidP="00F61062">
      <w:pPr>
        <w:jc w:val="center"/>
        <w:rPr>
          <w:rStyle w:val="Forte"/>
          <w:sz w:val="24"/>
          <w:szCs w:val="24"/>
        </w:rPr>
      </w:pPr>
      <w:r w:rsidRPr="001C6589">
        <w:rPr>
          <w:rStyle w:val="Forte"/>
          <w:sz w:val="24"/>
          <w:szCs w:val="24"/>
        </w:rPr>
        <w:t>Thiago Gomes Cardonia</w:t>
      </w:r>
    </w:p>
    <w:p w14:paraId="73A56CA5" w14:textId="77777777" w:rsidR="008E0867" w:rsidRPr="00F61062" w:rsidRDefault="008E0867" w:rsidP="00F61062">
      <w:pPr>
        <w:jc w:val="center"/>
        <w:rPr>
          <w:rStyle w:val="Forte"/>
          <w:b w:val="0"/>
          <w:bCs w:val="0"/>
          <w:sz w:val="24"/>
          <w:szCs w:val="24"/>
        </w:rPr>
      </w:pPr>
      <w:r w:rsidRPr="00F61062">
        <w:rPr>
          <w:rStyle w:val="Forte"/>
          <w:b w:val="0"/>
          <w:bCs w:val="0"/>
          <w:sz w:val="24"/>
          <w:szCs w:val="24"/>
        </w:rPr>
        <w:t>Procurador Municipal</w:t>
      </w:r>
    </w:p>
    <w:p w14:paraId="2C45E12A" w14:textId="77777777" w:rsidR="008E0867" w:rsidRPr="00F61062" w:rsidRDefault="008E0867" w:rsidP="00F61062">
      <w:pPr>
        <w:jc w:val="center"/>
        <w:rPr>
          <w:rStyle w:val="Forte"/>
          <w:b w:val="0"/>
          <w:bCs w:val="0"/>
          <w:sz w:val="24"/>
          <w:szCs w:val="24"/>
        </w:rPr>
      </w:pPr>
      <w:r w:rsidRPr="00F61062">
        <w:rPr>
          <w:rStyle w:val="Forte"/>
          <w:b w:val="0"/>
          <w:bCs w:val="0"/>
          <w:sz w:val="24"/>
          <w:szCs w:val="24"/>
        </w:rPr>
        <w:t>OAB/SP 352.084</w:t>
      </w:r>
    </w:p>
    <w:p w14:paraId="560C13D0" w14:textId="7D261D23" w:rsidR="00E339BC" w:rsidRPr="008E0867" w:rsidRDefault="00E339BC" w:rsidP="00F61062">
      <w:pPr>
        <w:spacing w:line="360" w:lineRule="auto"/>
        <w:jc w:val="both"/>
        <w:rPr>
          <w:rStyle w:val="Forte"/>
          <w:b w:val="0"/>
          <w:bCs w:val="0"/>
          <w:sz w:val="24"/>
          <w:szCs w:val="24"/>
        </w:rPr>
      </w:pPr>
    </w:p>
    <w:sectPr w:rsidR="00E339BC" w:rsidRPr="008E0867" w:rsidSect="00974C75">
      <w:headerReference w:type="default" r:id="rId9"/>
      <w:footerReference w:type="even" r:id="rId10"/>
      <w:footerReference w:type="default" r:id="rId11"/>
      <w:pgSz w:w="12240" w:h="15840"/>
      <w:pgMar w:top="2516" w:right="1183" w:bottom="899" w:left="170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F2D0" w14:textId="77777777" w:rsidR="00F93AF1" w:rsidRDefault="00F93AF1">
      <w:r>
        <w:separator/>
      </w:r>
    </w:p>
  </w:endnote>
  <w:endnote w:type="continuationSeparator" w:id="0">
    <w:p w14:paraId="49B79EE5" w14:textId="77777777" w:rsidR="00F93AF1" w:rsidRDefault="00F9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UI">
    <w:altName w:val="Segoe UI"/>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1CB4" w14:textId="77777777" w:rsidR="00475CE8" w:rsidRDefault="00A22359">
    <w:pPr>
      <w:pStyle w:val="Rodap"/>
      <w:framePr w:wrap="around" w:vAnchor="text" w:hAnchor="margin" w:xAlign="right" w:y="1"/>
      <w:rPr>
        <w:rStyle w:val="Nmerodepgina"/>
      </w:rPr>
    </w:pPr>
    <w:r>
      <w:rPr>
        <w:rStyle w:val="Nmerodepgina"/>
      </w:rPr>
      <w:fldChar w:fldCharType="begin"/>
    </w:r>
    <w:r w:rsidR="00475CE8">
      <w:rPr>
        <w:rStyle w:val="Nmerodepgina"/>
      </w:rPr>
      <w:instrText xml:space="preserve">PAGE  </w:instrText>
    </w:r>
    <w:r>
      <w:rPr>
        <w:rStyle w:val="Nmerodepgina"/>
      </w:rPr>
      <w:fldChar w:fldCharType="separate"/>
    </w:r>
    <w:r w:rsidR="00475CE8">
      <w:rPr>
        <w:rStyle w:val="Nmerodepgina"/>
        <w:noProof/>
      </w:rPr>
      <w:t>2</w:t>
    </w:r>
    <w:r>
      <w:rPr>
        <w:rStyle w:val="Nmerodepgina"/>
      </w:rPr>
      <w:fldChar w:fldCharType="end"/>
    </w:r>
  </w:p>
  <w:p w14:paraId="01B1E6BB" w14:textId="77777777" w:rsidR="00475CE8" w:rsidRDefault="00475CE8">
    <w:pPr>
      <w:pStyle w:val="Rodap"/>
      <w:ind w:right="360"/>
    </w:pPr>
  </w:p>
  <w:p w14:paraId="39080A45" w14:textId="77777777" w:rsidR="006464E1" w:rsidRDefault="006464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183027"/>
      <w:docPartObj>
        <w:docPartGallery w:val="Page Numbers (Bottom of Page)"/>
        <w:docPartUnique/>
      </w:docPartObj>
    </w:sdtPr>
    <w:sdtEndPr/>
    <w:sdtContent>
      <w:p w14:paraId="18566561" w14:textId="4B7768D6" w:rsidR="00041FFC" w:rsidRDefault="00041FFC">
        <w:pPr>
          <w:pStyle w:val="Rodap"/>
          <w:jc w:val="right"/>
        </w:pPr>
        <w:r>
          <w:t>Fls. 0</w:t>
        </w:r>
        <w:r>
          <w:fldChar w:fldCharType="begin"/>
        </w:r>
        <w:r>
          <w:instrText>PAGE   \* MERGEFORMAT</w:instrText>
        </w:r>
        <w:r>
          <w:fldChar w:fldCharType="separate"/>
        </w:r>
        <w:r>
          <w:t>2</w:t>
        </w:r>
        <w:r>
          <w:fldChar w:fldCharType="end"/>
        </w:r>
        <w:r w:rsidR="00D52AE5">
          <w:t>/</w:t>
        </w:r>
        <w:r w:rsidR="001C63E6">
          <w:t>0</w:t>
        </w:r>
        <w:r w:rsidR="007A4564">
          <w:t>3</w:t>
        </w:r>
      </w:p>
    </w:sdtContent>
  </w:sdt>
  <w:p w14:paraId="4C183EF4" w14:textId="60E6FBCA" w:rsidR="00475CE8" w:rsidRDefault="00475CE8">
    <w:pPr>
      <w:pStyle w:val="Rodap"/>
      <w:ind w:right="360"/>
    </w:pPr>
  </w:p>
  <w:p w14:paraId="170BE044" w14:textId="77777777" w:rsidR="006464E1" w:rsidRDefault="006464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C287" w14:textId="77777777" w:rsidR="00F93AF1" w:rsidRDefault="00F93AF1">
      <w:r>
        <w:separator/>
      </w:r>
    </w:p>
  </w:footnote>
  <w:footnote w:type="continuationSeparator" w:id="0">
    <w:p w14:paraId="23E32D27" w14:textId="77777777" w:rsidR="00F93AF1" w:rsidRDefault="00F93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6" w:type="dxa"/>
      <w:jc w:val="center"/>
      <w:tblLayout w:type="fixed"/>
      <w:tblLook w:val="04A0" w:firstRow="1" w:lastRow="0" w:firstColumn="1" w:lastColumn="0" w:noHBand="0" w:noVBand="1"/>
    </w:tblPr>
    <w:tblGrid>
      <w:gridCol w:w="2093"/>
      <w:gridCol w:w="6816"/>
      <w:gridCol w:w="1537"/>
    </w:tblGrid>
    <w:tr w:rsidR="004501DB" w:rsidRPr="0058226E" w14:paraId="3C5C4EE4" w14:textId="77777777" w:rsidTr="00C236A6">
      <w:trPr>
        <w:trHeight w:val="1408"/>
        <w:jc w:val="center"/>
      </w:trPr>
      <w:tc>
        <w:tcPr>
          <w:tcW w:w="2093" w:type="dxa"/>
        </w:tcPr>
        <w:p w14:paraId="4938587A" w14:textId="470BFDEE" w:rsidR="004501DB" w:rsidRPr="004501DB" w:rsidRDefault="0058226E" w:rsidP="004501DB">
          <w:pPr>
            <w:tabs>
              <w:tab w:val="left" w:pos="1368"/>
            </w:tabs>
            <w:rPr>
              <w:rFonts w:ascii="Arial" w:hAnsi="Arial" w:cs="Arial"/>
              <w:b/>
              <w:sz w:val="32"/>
              <w:szCs w:val="32"/>
              <w:u w:val="single"/>
              <w:lang w:eastAsia="x-none"/>
            </w:rPr>
          </w:pPr>
          <w:r>
            <w:rPr>
              <w:noProof/>
            </w:rPr>
            <w:drawing>
              <wp:anchor distT="0" distB="0" distL="114300" distR="114300" simplePos="0" relativeHeight="251659264" behindDoc="0" locked="0" layoutInCell="1" allowOverlap="1" wp14:anchorId="58E3C1F9" wp14:editId="354FF52B">
                <wp:simplePos x="0" y="0"/>
                <wp:positionH relativeFrom="column">
                  <wp:posOffset>461866</wp:posOffset>
                </wp:positionH>
                <wp:positionV relativeFrom="paragraph">
                  <wp:posOffset>52705</wp:posOffset>
                </wp:positionV>
                <wp:extent cx="647640" cy="734760"/>
                <wp:effectExtent l="0" t="0" r="60" b="8190"/>
                <wp:wrapSquare wrapText="bothSides"/>
                <wp:docPr id="6"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47640" cy="734760"/>
                        </a:xfrm>
                        <a:prstGeom prst="rect">
                          <a:avLst/>
                        </a:prstGeom>
                      </pic:spPr>
                    </pic:pic>
                  </a:graphicData>
                </a:graphic>
              </wp:anchor>
            </w:drawing>
          </w:r>
        </w:p>
      </w:tc>
      <w:tc>
        <w:tcPr>
          <w:tcW w:w="6816" w:type="dxa"/>
        </w:tcPr>
        <w:p w14:paraId="006E6DBC" w14:textId="61B0647D" w:rsidR="0058226E" w:rsidRDefault="0058226E" w:rsidP="0058226E">
          <w:pPr>
            <w:pStyle w:val="Cabealho"/>
            <w:tabs>
              <w:tab w:val="left" w:pos="1822"/>
            </w:tabs>
            <w:ind w:left="454"/>
            <w:jc w:val="center"/>
            <w:rPr>
              <w:rFonts w:ascii="Noto Sans" w:hAnsi="Noto Sans" w:cs="Arial"/>
              <w:b/>
              <w:color w:val="333333"/>
              <w:spacing w:val="6"/>
              <w:sz w:val="22"/>
              <w:szCs w:val="18"/>
            </w:rPr>
          </w:pPr>
          <w:r>
            <w:rPr>
              <w:rFonts w:ascii="Noto Sans" w:hAnsi="Noto Sans" w:cs="Arial"/>
              <w:b/>
              <w:color w:val="333333"/>
              <w:spacing w:val="6"/>
              <w:sz w:val="22"/>
              <w:szCs w:val="18"/>
            </w:rPr>
            <w:t>Prefeitura Municipal de Santo Antonio de Posse</w:t>
          </w:r>
        </w:p>
        <w:p w14:paraId="27747E18" w14:textId="77777777" w:rsidR="0058226E" w:rsidRDefault="0058226E" w:rsidP="0058226E">
          <w:pPr>
            <w:pStyle w:val="Cabealho"/>
            <w:tabs>
              <w:tab w:val="left" w:pos="1588"/>
              <w:tab w:val="left" w:leader="underscore" w:pos="10291"/>
            </w:tabs>
            <w:ind w:left="454"/>
            <w:jc w:val="center"/>
            <w:rPr>
              <w:rFonts w:ascii="Noto Sans" w:hAnsi="Noto Sans"/>
              <w:color w:val="333333"/>
              <w:sz w:val="15"/>
              <w:szCs w:val="15"/>
            </w:rPr>
          </w:pPr>
          <w:r>
            <w:rPr>
              <w:rFonts w:ascii="Noto Sans" w:hAnsi="Noto Sans" w:cs="Arial"/>
              <w:color w:val="333333"/>
              <w:sz w:val="15"/>
              <w:szCs w:val="15"/>
            </w:rPr>
            <w:t xml:space="preserve">Praça </w:t>
          </w:r>
          <w:proofErr w:type="spellStart"/>
          <w:r>
            <w:rPr>
              <w:rFonts w:ascii="Noto Sans" w:hAnsi="Noto Sans" w:cs="Arial"/>
              <w:color w:val="333333"/>
              <w:sz w:val="15"/>
              <w:szCs w:val="15"/>
            </w:rPr>
            <w:t>Chafia</w:t>
          </w:r>
          <w:proofErr w:type="spellEnd"/>
          <w:r>
            <w:rPr>
              <w:rFonts w:ascii="Noto Sans" w:hAnsi="Noto Sans" w:cs="Arial"/>
              <w:color w:val="333333"/>
              <w:sz w:val="15"/>
              <w:szCs w:val="15"/>
            </w:rPr>
            <w:t xml:space="preserve"> </w:t>
          </w:r>
          <w:proofErr w:type="spellStart"/>
          <w:r>
            <w:rPr>
              <w:rFonts w:ascii="Noto Sans" w:hAnsi="Noto Sans" w:cs="Arial"/>
              <w:color w:val="333333"/>
              <w:sz w:val="15"/>
              <w:szCs w:val="15"/>
            </w:rPr>
            <w:t>Chaib</w:t>
          </w:r>
          <w:proofErr w:type="spellEnd"/>
          <w:r>
            <w:rPr>
              <w:rFonts w:ascii="Noto Sans" w:hAnsi="Noto Sans" w:cs="Arial"/>
              <w:color w:val="333333"/>
              <w:sz w:val="15"/>
              <w:szCs w:val="15"/>
            </w:rPr>
            <w:t xml:space="preserve"> </w:t>
          </w:r>
          <w:proofErr w:type="spellStart"/>
          <w:r>
            <w:rPr>
              <w:rFonts w:ascii="Noto Sans" w:hAnsi="Noto Sans" w:cs="Arial"/>
              <w:color w:val="333333"/>
              <w:sz w:val="15"/>
              <w:szCs w:val="15"/>
            </w:rPr>
            <w:t>Baracat</w:t>
          </w:r>
          <w:proofErr w:type="spellEnd"/>
          <w:r>
            <w:rPr>
              <w:rFonts w:ascii="Noto Sans" w:hAnsi="Noto Sans" w:cs="Arial"/>
              <w:color w:val="333333"/>
              <w:sz w:val="15"/>
              <w:szCs w:val="15"/>
            </w:rPr>
            <w:t>, 351 – Tel. (19) 3896-9000, ramal 9016</w:t>
          </w:r>
        </w:p>
        <w:p w14:paraId="3B162C6C" w14:textId="77777777" w:rsidR="0058226E" w:rsidRDefault="0058226E" w:rsidP="0058226E">
          <w:pPr>
            <w:pStyle w:val="Cabealho"/>
            <w:tabs>
              <w:tab w:val="left" w:leader="underscore" w:pos="10291"/>
            </w:tabs>
            <w:ind w:left="454"/>
            <w:jc w:val="center"/>
            <w:rPr>
              <w:rFonts w:ascii="Noto Sans" w:hAnsi="Noto Sans"/>
              <w:color w:val="333333"/>
              <w:sz w:val="15"/>
              <w:szCs w:val="15"/>
            </w:rPr>
          </w:pPr>
          <w:r>
            <w:rPr>
              <w:rFonts w:ascii="Noto Sans" w:hAnsi="Noto Sans" w:cs="Arial"/>
              <w:color w:val="333333"/>
              <w:sz w:val="15"/>
              <w:szCs w:val="15"/>
            </w:rPr>
            <w:t>e-mail: juridico@pmsaposse.sp.gov.br · CEP 13831-024</w:t>
          </w:r>
        </w:p>
        <w:p w14:paraId="2C269DE3" w14:textId="5CB2F812" w:rsidR="004501DB" w:rsidRPr="004501DB" w:rsidRDefault="0058226E" w:rsidP="0058226E">
          <w:pPr>
            <w:tabs>
              <w:tab w:val="left" w:pos="1368"/>
            </w:tabs>
            <w:jc w:val="center"/>
            <w:rPr>
              <w:rFonts w:ascii="Arial" w:hAnsi="Arial" w:cs="Arial"/>
              <w:b/>
              <w:sz w:val="32"/>
              <w:szCs w:val="32"/>
              <w:u w:val="single"/>
              <w:lang w:val="x-none" w:eastAsia="x-none"/>
            </w:rPr>
          </w:pPr>
          <w:r>
            <w:rPr>
              <w:rFonts w:ascii="Noto Sans" w:hAnsi="Noto Sans" w:cs="Arial"/>
              <w:color w:val="333333"/>
              <w:sz w:val="15"/>
              <w:szCs w:val="15"/>
            </w:rPr>
            <w:t>Santo Antonio de Posse/SP</w:t>
          </w:r>
        </w:p>
      </w:tc>
      <w:tc>
        <w:tcPr>
          <w:tcW w:w="1537" w:type="dxa"/>
        </w:tcPr>
        <w:p w14:paraId="6083D3AC" w14:textId="3B5E5E3D" w:rsidR="004501DB" w:rsidRPr="004501DB" w:rsidRDefault="004501DB" w:rsidP="004501DB">
          <w:pPr>
            <w:tabs>
              <w:tab w:val="left" w:pos="1368"/>
            </w:tabs>
            <w:jc w:val="both"/>
            <w:rPr>
              <w:rFonts w:ascii="Arial" w:hAnsi="Arial" w:cs="Arial"/>
              <w:b/>
              <w:sz w:val="32"/>
              <w:szCs w:val="32"/>
              <w:u w:val="single"/>
              <w:lang w:val="x-none" w:eastAsia="x-none"/>
            </w:rPr>
          </w:pPr>
        </w:p>
      </w:tc>
    </w:tr>
  </w:tbl>
  <w:p w14:paraId="3C4B5FC3" w14:textId="77777777" w:rsidR="00475CE8" w:rsidRPr="0058226E" w:rsidRDefault="00475CE8">
    <w:pPr>
      <w:pStyle w:val="Cabealho"/>
    </w:pPr>
  </w:p>
  <w:p w14:paraId="62501D56" w14:textId="77777777" w:rsidR="006464E1" w:rsidRPr="0058226E" w:rsidRDefault="006464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196316"/>
    <w:multiLevelType w:val="hybridMultilevel"/>
    <w:tmpl w:val="2F925DA2"/>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36C313A5"/>
    <w:multiLevelType w:val="multilevel"/>
    <w:tmpl w:val="B172E4D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6D3E30A0"/>
    <w:multiLevelType w:val="hybridMultilevel"/>
    <w:tmpl w:val="5B7E5F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13080E"/>
    <w:multiLevelType w:val="multilevel"/>
    <w:tmpl w:val="6E5E8E76"/>
    <w:lvl w:ilvl="0">
      <w:start w:val="11"/>
      <w:numFmt w:val="decimal"/>
      <w:lvlText w:val="%1"/>
      <w:lvlJc w:val="left"/>
      <w:pPr>
        <w:ind w:left="672" w:hanging="672"/>
      </w:pPr>
      <w:rPr>
        <w:rFonts w:hint="default"/>
        <w:u w:val="thick"/>
      </w:rPr>
    </w:lvl>
    <w:lvl w:ilvl="1">
      <w:start w:val="6"/>
      <w:numFmt w:val="decimal"/>
      <w:lvlText w:val="%1.%2"/>
      <w:lvlJc w:val="left"/>
      <w:pPr>
        <w:ind w:left="870" w:hanging="672"/>
      </w:pPr>
      <w:rPr>
        <w:rFonts w:hint="default"/>
        <w:u w:val="thick"/>
      </w:rPr>
    </w:lvl>
    <w:lvl w:ilvl="2">
      <w:start w:val="3"/>
      <w:numFmt w:val="decimal"/>
      <w:lvlText w:val="%1.%2.%3"/>
      <w:lvlJc w:val="left"/>
      <w:pPr>
        <w:ind w:left="3272" w:hanging="720"/>
      </w:pPr>
      <w:rPr>
        <w:rFonts w:hint="default"/>
        <w:u w:val="thick"/>
      </w:rPr>
    </w:lvl>
    <w:lvl w:ilvl="3">
      <w:start w:val="1"/>
      <w:numFmt w:val="decimal"/>
      <w:lvlText w:val="%1.%2.%3.%4"/>
      <w:lvlJc w:val="left"/>
      <w:pPr>
        <w:ind w:left="1674" w:hanging="1080"/>
      </w:pPr>
      <w:rPr>
        <w:rFonts w:hint="default"/>
        <w:u w:val="thick"/>
      </w:rPr>
    </w:lvl>
    <w:lvl w:ilvl="4">
      <w:start w:val="1"/>
      <w:numFmt w:val="decimal"/>
      <w:lvlText w:val="%1.%2.%3.%4.%5"/>
      <w:lvlJc w:val="left"/>
      <w:pPr>
        <w:ind w:left="1872" w:hanging="1080"/>
      </w:pPr>
      <w:rPr>
        <w:rFonts w:hint="default"/>
        <w:u w:val="thick"/>
      </w:rPr>
    </w:lvl>
    <w:lvl w:ilvl="5">
      <w:start w:val="1"/>
      <w:numFmt w:val="decimal"/>
      <w:lvlText w:val="%1.%2.%3.%4.%5.%6"/>
      <w:lvlJc w:val="left"/>
      <w:pPr>
        <w:ind w:left="2430" w:hanging="1440"/>
      </w:pPr>
      <w:rPr>
        <w:rFonts w:hint="default"/>
        <w:u w:val="thick"/>
      </w:rPr>
    </w:lvl>
    <w:lvl w:ilvl="6">
      <w:start w:val="1"/>
      <w:numFmt w:val="decimal"/>
      <w:lvlText w:val="%1.%2.%3.%4.%5.%6.%7"/>
      <w:lvlJc w:val="left"/>
      <w:pPr>
        <w:ind w:left="2628" w:hanging="1440"/>
      </w:pPr>
      <w:rPr>
        <w:rFonts w:hint="default"/>
        <w:u w:val="thick"/>
      </w:rPr>
    </w:lvl>
    <w:lvl w:ilvl="7">
      <w:start w:val="1"/>
      <w:numFmt w:val="decimal"/>
      <w:lvlText w:val="%1.%2.%3.%4.%5.%6.%7.%8"/>
      <w:lvlJc w:val="left"/>
      <w:pPr>
        <w:ind w:left="3186" w:hanging="1800"/>
      </w:pPr>
      <w:rPr>
        <w:rFonts w:hint="default"/>
        <w:u w:val="thick"/>
      </w:rPr>
    </w:lvl>
    <w:lvl w:ilvl="8">
      <w:start w:val="1"/>
      <w:numFmt w:val="decimal"/>
      <w:lvlText w:val="%1.%2.%3.%4.%5.%6.%7.%8.%9"/>
      <w:lvlJc w:val="left"/>
      <w:pPr>
        <w:ind w:left="3384" w:hanging="1800"/>
      </w:pPr>
      <w:rPr>
        <w:rFonts w:hint="default"/>
        <w:u w:val="thick"/>
      </w:rPr>
    </w:lvl>
  </w:abstractNum>
  <w:num w:numId="1" w16cid:durableId="1777476708">
    <w:abstractNumId w:val="0"/>
  </w:num>
  <w:num w:numId="2" w16cid:durableId="1164398586">
    <w:abstractNumId w:val="4"/>
  </w:num>
  <w:num w:numId="3" w16cid:durableId="2101482892">
    <w:abstractNumId w:val="2"/>
  </w:num>
  <w:num w:numId="4" w16cid:durableId="684094315">
    <w:abstractNumId w:val="3"/>
  </w:num>
  <w:num w:numId="5" w16cid:durableId="38155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E2"/>
    <w:rsid w:val="00000383"/>
    <w:rsid w:val="00003A83"/>
    <w:rsid w:val="000044D2"/>
    <w:rsid w:val="0002262B"/>
    <w:rsid w:val="0002298E"/>
    <w:rsid w:val="00026509"/>
    <w:rsid w:val="00030A4B"/>
    <w:rsid w:val="000377E3"/>
    <w:rsid w:val="00041FFC"/>
    <w:rsid w:val="00044617"/>
    <w:rsid w:val="00054D7F"/>
    <w:rsid w:val="00062DDB"/>
    <w:rsid w:val="0006579A"/>
    <w:rsid w:val="000657D3"/>
    <w:rsid w:val="00072240"/>
    <w:rsid w:val="00091B3F"/>
    <w:rsid w:val="00093B70"/>
    <w:rsid w:val="000A3725"/>
    <w:rsid w:val="000A63F1"/>
    <w:rsid w:val="000B04F2"/>
    <w:rsid w:val="000B6345"/>
    <w:rsid w:val="000B704D"/>
    <w:rsid w:val="000B71A1"/>
    <w:rsid w:val="000C6D6C"/>
    <w:rsid w:val="000D4F2A"/>
    <w:rsid w:val="000E00CF"/>
    <w:rsid w:val="000E2B38"/>
    <w:rsid w:val="000E536F"/>
    <w:rsid w:val="000E64FD"/>
    <w:rsid w:val="000F152B"/>
    <w:rsid w:val="00102154"/>
    <w:rsid w:val="00102D81"/>
    <w:rsid w:val="0010519F"/>
    <w:rsid w:val="00117697"/>
    <w:rsid w:val="0012585D"/>
    <w:rsid w:val="00125D34"/>
    <w:rsid w:val="00134163"/>
    <w:rsid w:val="0013749F"/>
    <w:rsid w:val="00142978"/>
    <w:rsid w:val="001461C6"/>
    <w:rsid w:val="0015173B"/>
    <w:rsid w:val="00162D07"/>
    <w:rsid w:val="00171ABB"/>
    <w:rsid w:val="001733A5"/>
    <w:rsid w:val="00190C51"/>
    <w:rsid w:val="0019344F"/>
    <w:rsid w:val="001A46CD"/>
    <w:rsid w:val="001A60E9"/>
    <w:rsid w:val="001C0A79"/>
    <w:rsid w:val="001C4274"/>
    <w:rsid w:val="001C5167"/>
    <w:rsid w:val="001C5B1E"/>
    <w:rsid w:val="001C63E6"/>
    <w:rsid w:val="001C769B"/>
    <w:rsid w:val="001D3B24"/>
    <w:rsid w:val="001D43AF"/>
    <w:rsid w:val="001E0BDF"/>
    <w:rsid w:val="002079B3"/>
    <w:rsid w:val="00210332"/>
    <w:rsid w:val="00221FA1"/>
    <w:rsid w:val="00237DDD"/>
    <w:rsid w:val="002445EF"/>
    <w:rsid w:val="00253FA3"/>
    <w:rsid w:val="00284C81"/>
    <w:rsid w:val="00284E3E"/>
    <w:rsid w:val="002B4635"/>
    <w:rsid w:val="002B559B"/>
    <w:rsid w:val="002B6977"/>
    <w:rsid w:val="002C4139"/>
    <w:rsid w:val="002D59D1"/>
    <w:rsid w:val="002E5B80"/>
    <w:rsid w:val="00301F8D"/>
    <w:rsid w:val="00312363"/>
    <w:rsid w:val="003133A2"/>
    <w:rsid w:val="0032173C"/>
    <w:rsid w:val="0032355C"/>
    <w:rsid w:val="00324B5D"/>
    <w:rsid w:val="003320A1"/>
    <w:rsid w:val="003354F8"/>
    <w:rsid w:val="003365C8"/>
    <w:rsid w:val="00341695"/>
    <w:rsid w:val="00343183"/>
    <w:rsid w:val="0034667C"/>
    <w:rsid w:val="003548F4"/>
    <w:rsid w:val="00362182"/>
    <w:rsid w:val="0037498A"/>
    <w:rsid w:val="003817B4"/>
    <w:rsid w:val="0038222A"/>
    <w:rsid w:val="00386B16"/>
    <w:rsid w:val="00393FEF"/>
    <w:rsid w:val="00396732"/>
    <w:rsid w:val="00397B05"/>
    <w:rsid w:val="003A0896"/>
    <w:rsid w:val="003A37A9"/>
    <w:rsid w:val="003B1A0E"/>
    <w:rsid w:val="003B261E"/>
    <w:rsid w:val="003B598E"/>
    <w:rsid w:val="003C36AF"/>
    <w:rsid w:val="003D0A28"/>
    <w:rsid w:val="003D0E3B"/>
    <w:rsid w:val="003D7A3A"/>
    <w:rsid w:val="003E44E4"/>
    <w:rsid w:val="003F0E69"/>
    <w:rsid w:val="003F42BC"/>
    <w:rsid w:val="00410C11"/>
    <w:rsid w:val="00422B06"/>
    <w:rsid w:val="0042791E"/>
    <w:rsid w:val="00443B0B"/>
    <w:rsid w:val="004458B1"/>
    <w:rsid w:val="004501DB"/>
    <w:rsid w:val="00454212"/>
    <w:rsid w:val="0045640F"/>
    <w:rsid w:val="00464E40"/>
    <w:rsid w:val="00471155"/>
    <w:rsid w:val="0047546F"/>
    <w:rsid w:val="00475CE8"/>
    <w:rsid w:val="004806C3"/>
    <w:rsid w:val="004833AE"/>
    <w:rsid w:val="00487D0E"/>
    <w:rsid w:val="00492186"/>
    <w:rsid w:val="004929A4"/>
    <w:rsid w:val="004946FC"/>
    <w:rsid w:val="00495D7C"/>
    <w:rsid w:val="0049791C"/>
    <w:rsid w:val="004A469F"/>
    <w:rsid w:val="004A6329"/>
    <w:rsid w:val="004A6B9D"/>
    <w:rsid w:val="004B4DA7"/>
    <w:rsid w:val="004B658B"/>
    <w:rsid w:val="004C07D6"/>
    <w:rsid w:val="004C28D9"/>
    <w:rsid w:val="004D1CD4"/>
    <w:rsid w:val="004E7D1C"/>
    <w:rsid w:val="004F4673"/>
    <w:rsid w:val="004F5E12"/>
    <w:rsid w:val="005009D2"/>
    <w:rsid w:val="005064DB"/>
    <w:rsid w:val="00507CBD"/>
    <w:rsid w:val="005121CA"/>
    <w:rsid w:val="00513361"/>
    <w:rsid w:val="00513C69"/>
    <w:rsid w:val="00515126"/>
    <w:rsid w:val="005224F5"/>
    <w:rsid w:val="00523D14"/>
    <w:rsid w:val="00524908"/>
    <w:rsid w:val="0052560E"/>
    <w:rsid w:val="00544DD2"/>
    <w:rsid w:val="005626CA"/>
    <w:rsid w:val="00566007"/>
    <w:rsid w:val="00574DB3"/>
    <w:rsid w:val="0058226E"/>
    <w:rsid w:val="00586333"/>
    <w:rsid w:val="005926CD"/>
    <w:rsid w:val="005A1381"/>
    <w:rsid w:val="005A2E0A"/>
    <w:rsid w:val="005A77E5"/>
    <w:rsid w:val="005B3928"/>
    <w:rsid w:val="005B4EEC"/>
    <w:rsid w:val="005C2C36"/>
    <w:rsid w:val="005C4123"/>
    <w:rsid w:val="005C4CC4"/>
    <w:rsid w:val="005C6D56"/>
    <w:rsid w:val="005D2F99"/>
    <w:rsid w:val="005D3610"/>
    <w:rsid w:val="005D4B1B"/>
    <w:rsid w:val="005E6DC8"/>
    <w:rsid w:val="005E7E0D"/>
    <w:rsid w:val="005F1BDD"/>
    <w:rsid w:val="005F2580"/>
    <w:rsid w:val="005F2A66"/>
    <w:rsid w:val="005F3F37"/>
    <w:rsid w:val="00602792"/>
    <w:rsid w:val="006135C2"/>
    <w:rsid w:val="00613AD6"/>
    <w:rsid w:val="00614C9D"/>
    <w:rsid w:val="00626EAF"/>
    <w:rsid w:val="0062781D"/>
    <w:rsid w:val="006315DF"/>
    <w:rsid w:val="006422AF"/>
    <w:rsid w:val="00645ABA"/>
    <w:rsid w:val="006464E1"/>
    <w:rsid w:val="00653519"/>
    <w:rsid w:val="00660CD2"/>
    <w:rsid w:val="00667C80"/>
    <w:rsid w:val="006704B9"/>
    <w:rsid w:val="00673D63"/>
    <w:rsid w:val="00673FC6"/>
    <w:rsid w:val="0068463F"/>
    <w:rsid w:val="00685153"/>
    <w:rsid w:val="0069121E"/>
    <w:rsid w:val="00696EBB"/>
    <w:rsid w:val="006A1020"/>
    <w:rsid w:val="006A4307"/>
    <w:rsid w:val="006A77E2"/>
    <w:rsid w:val="006C4620"/>
    <w:rsid w:val="007023A2"/>
    <w:rsid w:val="00705A73"/>
    <w:rsid w:val="007131F9"/>
    <w:rsid w:val="00731579"/>
    <w:rsid w:val="0073384B"/>
    <w:rsid w:val="0074101D"/>
    <w:rsid w:val="00746CEE"/>
    <w:rsid w:val="007500E6"/>
    <w:rsid w:val="00752D6F"/>
    <w:rsid w:val="00760036"/>
    <w:rsid w:val="0077152A"/>
    <w:rsid w:val="0077375C"/>
    <w:rsid w:val="0078078A"/>
    <w:rsid w:val="007808BF"/>
    <w:rsid w:val="00781A7C"/>
    <w:rsid w:val="0078270D"/>
    <w:rsid w:val="007910DF"/>
    <w:rsid w:val="00792773"/>
    <w:rsid w:val="00792F48"/>
    <w:rsid w:val="00797DC6"/>
    <w:rsid w:val="007A393C"/>
    <w:rsid w:val="007A4564"/>
    <w:rsid w:val="007B5A81"/>
    <w:rsid w:val="007C194D"/>
    <w:rsid w:val="007C1A31"/>
    <w:rsid w:val="007C5296"/>
    <w:rsid w:val="007D65A4"/>
    <w:rsid w:val="007E49CD"/>
    <w:rsid w:val="007E5342"/>
    <w:rsid w:val="007F47A6"/>
    <w:rsid w:val="007F5CD0"/>
    <w:rsid w:val="008007E8"/>
    <w:rsid w:val="00801777"/>
    <w:rsid w:val="008019F5"/>
    <w:rsid w:val="00811B6B"/>
    <w:rsid w:val="00821D2F"/>
    <w:rsid w:val="008226AB"/>
    <w:rsid w:val="00846B15"/>
    <w:rsid w:val="008524C7"/>
    <w:rsid w:val="00863829"/>
    <w:rsid w:val="008714B9"/>
    <w:rsid w:val="00884194"/>
    <w:rsid w:val="008926AC"/>
    <w:rsid w:val="0089693E"/>
    <w:rsid w:val="008A5191"/>
    <w:rsid w:val="008A7F8B"/>
    <w:rsid w:val="008C0E6F"/>
    <w:rsid w:val="008D1AD9"/>
    <w:rsid w:val="008D382C"/>
    <w:rsid w:val="008D45F6"/>
    <w:rsid w:val="008E0867"/>
    <w:rsid w:val="008E256F"/>
    <w:rsid w:val="008E6EDB"/>
    <w:rsid w:val="00907625"/>
    <w:rsid w:val="00925603"/>
    <w:rsid w:val="00926121"/>
    <w:rsid w:val="00940A6E"/>
    <w:rsid w:val="009439DC"/>
    <w:rsid w:val="00946B05"/>
    <w:rsid w:val="0095419A"/>
    <w:rsid w:val="009619D8"/>
    <w:rsid w:val="009629F4"/>
    <w:rsid w:val="00964E78"/>
    <w:rsid w:val="00967727"/>
    <w:rsid w:val="00973D0D"/>
    <w:rsid w:val="00974C75"/>
    <w:rsid w:val="00975BF0"/>
    <w:rsid w:val="00982552"/>
    <w:rsid w:val="009B26D0"/>
    <w:rsid w:val="009B3B60"/>
    <w:rsid w:val="009C6231"/>
    <w:rsid w:val="009F1B9A"/>
    <w:rsid w:val="00A040F8"/>
    <w:rsid w:val="00A0478C"/>
    <w:rsid w:val="00A07BC2"/>
    <w:rsid w:val="00A10569"/>
    <w:rsid w:val="00A17D8B"/>
    <w:rsid w:val="00A212B3"/>
    <w:rsid w:val="00A22359"/>
    <w:rsid w:val="00A22521"/>
    <w:rsid w:val="00A24DFE"/>
    <w:rsid w:val="00A31C74"/>
    <w:rsid w:val="00A35378"/>
    <w:rsid w:val="00A4501E"/>
    <w:rsid w:val="00A46B53"/>
    <w:rsid w:val="00A46CE1"/>
    <w:rsid w:val="00A508CE"/>
    <w:rsid w:val="00A515BF"/>
    <w:rsid w:val="00A63CAC"/>
    <w:rsid w:val="00A70717"/>
    <w:rsid w:val="00A817D6"/>
    <w:rsid w:val="00A87AD4"/>
    <w:rsid w:val="00A91949"/>
    <w:rsid w:val="00A95BB0"/>
    <w:rsid w:val="00AA4477"/>
    <w:rsid w:val="00AA473E"/>
    <w:rsid w:val="00AB23F2"/>
    <w:rsid w:val="00AC750C"/>
    <w:rsid w:val="00AD5161"/>
    <w:rsid w:val="00AD5755"/>
    <w:rsid w:val="00AD6C70"/>
    <w:rsid w:val="00AD74A5"/>
    <w:rsid w:val="00AE378E"/>
    <w:rsid w:val="00AE51DA"/>
    <w:rsid w:val="00AE595F"/>
    <w:rsid w:val="00AF4C3E"/>
    <w:rsid w:val="00AF6F56"/>
    <w:rsid w:val="00AF78BC"/>
    <w:rsid w:val="00B10853"/>
    <w:rsid w:val="00B25AE1"/>
    <w:rsid w:val="00B45147"/>
    <w:rsid w:val="00B4543E"/>
    <w:rsid w:val="00B54305"/>
    <w:rsid w:val="00B64846"/>
    <w:rsid w:val="00B70702"/>
    <w:rsid w:val="00B708CF"/>
    <w:rsid w:val="00B8024C"/>
    <w:rsid w:val="00B87E37"/>
    <w:rsid w:val="00B95041"/>
    <w:rsid w:val="00BA05BC"/>
    <w:rsid w:val="00BA3DF9"/>
    <w:rsid w:val="00BA4D74"/>
    <w:rsid w:val="00BA7E30"/>
    <w:rsid w:val="00BB25BC"/>
    <w:rsid w:val="00BB4CB7"/>
    <w:rsid w:val="00BC0261"/>
    <w:rsid w:val="00BD3793"/>
    <w:rsid w:val="00BD66CF"/>
    <w:rsid w:val="00BF558D"/>
    <w:rsid w:val="00C1226A"/>
    <w:rsid w:val="00C13DE1"/>
    <w:rsid w:val="00C1600C"/>
    <w:rsid w:val="00C21DA7"/>
    <w:rsid w:val="00C34300"/>
    <w:rsid w:val="00C43CB7"/>
    <w:rsid w:val="00C503E2"/>
    <w:rsid w:val="00C50D35"/>
    <w:rsid w:val="00C65516"/>
    <w:rsid w:val="00C74545"/>
    <w:rsid w:val="00C8539B"/>
    <w:rsid w:val="00C902AF"/>
    <w:rsid w:val="00CB1656"/>
    <w:rsid w:val="00CC2A88"/>
    <w:rsid w:val="00CC2FFD"/>
    <w:rsid w:val="00CD1797"/>
    <w:rsid w:val="00CE134D"/>
    <w:rsid w:val="00CE6091"/>
    <w:rsid w:val="00CF2A2B"/>
    <w:rsid w:val="00CF5699"/>
    <w:rsid w:val="00CF6235"/>
    <w:rsid w:val="00CF63F5"/>
    <w:rsid w:val="00D01782"/>
    <w:rsid w:val="00D03789"/>
    <w:rsid w:val="00D17C70"/>
    <w:rsid w:val="00D2627D"/>
    <w:rsid w:val="00D31B69"/>
    <w:rsid w:val="00D36FBE"/>
    <w:rsid w:val="00D4118A"/>
    <w:rsid w:val="00D52AE5"/>
    <w:rsid w:val="00D53452"/>
    <w:rsid w:val="00D561FA"/>
    <w:rsid w:val="00D60DFD"/>
    <w:rsid w:val="00D65870"/>
    <w:rsid w:val="00D76652"/>
    <w:rsid w:val="00DA0155"/>
    <w:rsid w:val="00DA0EF9"/>
    <w:rsid w:val="00DA1D7C"/>
    <w:rsid w:val="00DA20C5"/>
    <w:rsid w:val="00DB01B3"/>
    <w:rsid w:val="00DB4793"/>
    <w:rsid w:val="00DB7C64"/>
    <w:rsid w:val="00DD07D2"/>
    <w:rsid w:val="00DD4BCB"/>
    <w:rsid w:val="00DE591B"/>
    <w:rsid w:val="00DE6330"/>
    <w:rsid w:val="00DF0EE0"/>
    <w:rsid w:val="00DF270C"/>
    <w:rsid w:val="00E05E87"/>
    <w:rsid w:val="00E1041A"/>
    <w:rsid w:val="00E27FA2"/>
    <w:rsid w:val="00E3092A"/>
    <w:rsid w:val="00E323C8"/>
    <w:rsid w:val="00E33753"/>
    <w:rsid w:val="00E339BC"/>
    <w:rsid w:val="00E342B4"/>
    <w:rsid w:val="00E46FB4"/>
    <w:rsid w:val="00E52C21"/>
    <w:rsid w:val="00E572F4"/>
    <w:rsid w:val="00E71506"/>
    <w:rsid w:val="00E73379"/>
    <w:rsid w:val="00E815A3"/>
    <w:rsid w:val="00E87DA7"/>
    <w:rsid w:val="00E9214F"/>
    <w:rsid w:val="00E954BE"/>
    <w:rsid w:val="00E97116"/>
    <w:rsid w:val="00EA6F46"/>
    <w:rsid w:val="00EB0394"/>
    <w:rsid w:val="00EB153C"/>
    <w:rsid w:val="00EB3CA1"/>
    <w:rsid w:val="00EB5D07"/>
    <w:rsid w:val="00EB67E3"/>
    <w:rsid w:val="00EC72A8"/>
    <w:rsid w:val="00EE050B"/>
    <w:rsid w:val="00EE31A1"/>
    <w:rsid w:val="00EF07C7"/>
    <w:rsid w:val="00EF3F93"/>
    <w:rsid w:val="00EF771D"/>
    <w:rsid w:val="00F2385C"/>
    <w:rsid w:val="00F24012"/>
    <w:rsid w:val="00F25157"/>
    <w:rsid w:val="00F41398"/>
    <w:rsid w:val="00F5041C"/>
    <w:rsid w:val="00F609F9"/>
    <w:rsid w:val="00F61062"/>
    <w:rsid w:val="00F70A19"/>
    <w:rsid w:val="00F71F4F"/>
    <w:rsid w:val="00F75BED"/>
    <w:rsid w:val="00F83034"/>
    <w:rsid w:val="00F876BD"/>
    <w:rsid w:val="00F91F35"/>
    <w:rsid w:val="00F92721"/>
    <w:rsid w:val="00F93AF1"/>
    <w:rsid w:val="00F961A9"/>
    <w:rsid w:val="00F96BEF"/>
    <w:rsid w:val="00FA2DD1"/>
    <w:rsid w:val="00FA5718"/>
    <w:rsid w:val="00FB0CAA"/>
    <w:rsid w:val="00FB2920"/>
    <w:rsid w:val="00FC23C9"/>
    <w:rsid w:val="00FC2E03"/>
    <w:rsid w:val="00FC6724"/>
    <w:rsid w:val="00FD1395"/>
    <w:rsid w:val="00FD6D27"/>
    <w:rsid w:val="00FF0467"/>
    <w:rsid w:val="00FF2A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D27A96C"/>
  <w15:docId w15:val="{552144C6-21B2-4B3A-8FB5-2EABC799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3C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4711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1C42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Corpodetexto"/>
    <w:link w:val="Ttulo5Char"/>
    <w:qFormat/>
    <w:rsid w:val="008926AC"/>
    <w:pPr>
      <w:numPr>
        <w:ilvl w:val="4"/>
        <w:numId w:val="1"/>
      </w:numPr>
      <w:outlineLvl w:val="4"/>
    </w:pPr>
    <w:rPr>
      <w:b/>
      <w:bCs/>
      <w:kern w:val="1"/>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6A77E2"/>
    <w:pPr>
      <w:tabs>
        <w:tab w:val="center" w:pos="4419"/>
        <w:tab w:val="right" w:pos="8838"/>
      </w:tabs>
      <w:jc w:val="both"/>
    </w:pPr>
  </w:style>
  <w:style w:type="character" w:customStyle="1" w:styleId="RodapChar">
    <w:name w:val="Rodapé Char"/>
    <w:basedOn w:val="Fontepargpadro"/>
    <w:link w:val="Rodap"/>
    <w:uiPriority w:val="99"/>
    <w:rsid w:val="006A77E2"/>
    <w:rPr>
      <w:rFonts w:ascii="Times New Roman" w:eastAsia="Times New Roman" w:hAnsi="Times New Roman" w:cs="Times New Roman"/>
      <w:sz w:val="20"/>
      <w:szCs w:val="20"/>
      <w:lang w:eastAsia="pt-BR"/>
    </w:rPr>
  </w:style>
  <w:style w:type="paragraph" w:styleId="Cabealho">
    <w:name w:val="header"/>
    <w:basedOn w:val="Normal"/>
    <w:link w:val="CabealhoChar"/>
    <w:rsid w:val="006A77E2"/>
    <w:pPr>
      <w:tabs>
        <w:tab w:val="center" w:pos="4419"/>
        <w:tab w:val="right" w:pos="8838"/>
      </w:tabs>
      <w:jc w:val="both"/>
    </w:pPr>
  </w:style>
  <w:style w:type="character" w:customStyle="1" w:styleId="CabealhoChar">
    <w:name w:val="Cabeçalho Char"/>
    <w:basedOn w:val="Fontepargpadro"/>
    <w:link w:val="Cabealho"/>
    <w:rsid w:val="006A77E2"/>
    <w:rPr>
      <w:rFonts w:ascii="Times New Roman" w:eastAsia="Times New Roman" w:hAnsi="Times New Roman" w:cs="Times New Roman"/>
      <w:sz w:val="20"/>
      <w:szCs w:val="20"/>
      <w:lang w:eastAsia="pt-BR"/>
    </w:rPr>
  </w:style>
  <w:style w:type="character" w:styleId="Nmerodepgina">
    <w:name w:val="page number"/>
    <w:basedOn w:val="Fontepargpadro"/>
    <w:rsid w:val="006A77E2"/>
  </w:style>
  <w:style w:type="paragraph" w:customStyle="1" w:styleId="Standard">
    <w:name w:val="Standard"/>
    <w:rsid w:val="00645AB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customStyle="1" w:styleId="Ttulo21">
    <w:name w:val="Título 21"/>
    <w:basedOn w:val="Standard"/>
    <w:next w:val="Standard"/>
    <w:rsid w:val="00645ABA"/>
    <w:pPr>
      <w:keepNext/>
      <w:outlineLvl w:val="1"/>
    </w:pPr>
    <w:rPr>
      <w:b/>
      <w:szCs w:val="20"/>
    </w:rPr>
  </w:style>
  <w:style w:type="paragraph" w:customStyle="1" w:styleId="Corpodetexto21">
    <w:name w:val="Corpo de texto 21"/>
    <w:basedOn w:val="Standard"/>
    <w:rsid w:val="00645ABA"/>
    <w:pPr>
      <w:tabs>
        <w:tab w:val="left" w:pos="567"/>
      </w:tabs>
      <w:spacing w:before="120"/>
      <w:ind w:right="-86"/>
      <w:jc w:val="both"/>
    </w:pPr>
    <w:rPr>
      <w:szCs w:val="20"/>
    </w:rPr>
  </w:style>
  <w:style w:type="paragraph" w:customStyle="1" w:styleId="Textopadro">
    <w:name w:val="Texto padrão"/>
    <w:basedOn w:val="Standard"/>
    <w:rsid w:val="00645ABA"/>
    <w:pPr>
      <w:overflowPunct w:val="0"/>
      <w:autoSpaceDE w:val="0"/>
    </w:pPr>
    <w:rPr>
      <w:szCs w:val="20"/>
    </w:rPr>
  </w:style>
  <w:style w:type="character" w:customStyle="1" w:styleId="Ttulo5Char">
    <w:name w:val="Título 5 Char"/>
    <w:basedOn w:val="Fontepargpadro"/>
    <w:link w:val="Ttulo5"/>
    <w:rsid w:val="008926AC"/>
    <w:rPr>
      <w:rFonts w:ascii="Times New Roman" w:eastAsia="Times New Roman" w:hAnsi="Times New Roman" w:cs="Times New Roman"/>
      <w:b/>
      <w:bCs/>
      <w:kern w:val="1"/>
      <w:sz w:val="20"/>
      <w:szCs w:val="20"/>
      <w:lang w:eastAsia="ar-SA"/>
    </w:rPr>
  </w:style>
  <w:style w:type="character" w:styleId="MquinadeescreverHTML">
    <w:name w:val="HTML Typewriter"/>
    <w:basedOn w:val="Fontepargpadro"/>
    <w:rsid w:val="008926AC"/>
    <w:rPr>
      <w:rFonts w:ascii="Arial Unicode MS" w:eastAsia="Courier New" w:hAnsi="Arial Unicode MS" w:cs="Courier New"/>
      <w:sz w:val="20"/>
      <w:szCs w:val="20"/>
    </w:rPr>
  </w:style>
  <w:style w:type="character" w:styleId="Forte">
    <w:name w:val="Strong"/>
    <w:basedOn w:val="Fontepargpadro"/>
    <w:uiPriority w:val="22"/>
    <w:qFormat/>
    <w:rsid w:val="008926AC"/>
    <w:rPr>
      <w:b/>
      <w:bCs/>
    </w:rPr>
  </w:style>
  <w:style w:type="paragraph" w:customStyle="1" w:styleId="western">
    <w:name w:val="western"/>
    <w:basedOn w:val="Normal"/>
    <w:rsid w:val="008926AC"/>
    <w:pPr>
      <w:spacing w:before="280" w:after="119"/>
    </w:pPr>
    <w:rPr>
      <w:kern w:val="1"/>
      <w:sz w:val="24"/>
      <w:szCs w:val="24"/>
      <w:lang w:eastAsia="ar-SA"/>
    </w:rPr>
  </w:style>
  <w:style w:type="paragraph" w:styleId="Corpodetexto">
    <w:name w:val="Body Text"/>
    <w:basedOn w:val="Normal"/>
    <w:link w:val="CorpodetextoChar"/>
    <w:uiPriority w:val="99"/>
    <w:unhideWhenUsed/>
    <w:rsid w:val="008926AC"/>
    <w:pPr>
      <w:spacing w:after="120"/>
    </w:pPr>
  </w:style>
  <w:style w:type="character" w:customStyle="1" w:styleId="CorpodetextoChar">
    <w:name w:val="Corpo de texto Char"/>
    <w:basedOn w:val="Fontepargpadro"/>
    <w:link w:val="Corpodetexto"/>
    <w:uiPriority w:val="99"/>
    <w:rsid w:val="008926AC"/>
    <w:rPr>
      <w:rFonts w:ascii="Times New Roman" w:eastAsia="Times New Roman" w:hAnsi="Times New Roman" w:cs="Times New Roman"/>
      <w:sz w:val="20"/>
      <w:szCs w:val="20"/>
      <w:lang w:eastAsia="pt-BR"/>
    </w:rPr>
  </w:style>
  <w:style w:type="paragraph" w:customStyle="1" w:styleId="Textbody">
    <w:name w:val="Text body"/>
    <w:basedOn w:val="Standard"/>
    <w:rsid w:val="004833AE"/>
    <w:pPr>
      <w:widowControl/>
      <w:tabs>
        <w:tab w:val="left" w:pos="144"/>
        <w:tab w:val="left" w:pos="1584"/>
        <w:tab w:val="left" w:pos="2304"/>
        <w:tab w:val="left" w:pos="3024"/>
        <w:tab w:val="left" w:pos="3744"/>
        <w:tab w:val="left" w:pos="4464"/>
        <w:tab w:val="left" w:pos="5184"/>
        <w:tab w:val="left" w:pos="5904"/>
        <w:tab w:val="left" w:pos="6624"/>
      </w:tabs>
      <w:jc w:val="both"/>
    </w:pPr>
    <w:rPr>
      <w:rFonts w:eastAsia="Times New Roman" w:cs="Times New Roman"/>
      <w:szCs w:val="20"/>
    </w:rPr>
  </w:style>
  <w:style w:type="paragraph" w:styleId="Ttulo">
    <w:name w:val="Title"/>
    <w:basedOn w:val="Standard"/>
    <w:next w:val="Textbody"/>
    <w:link w:val="TtuloChar"/>
    <w:rsid w:val="004833AE"/>
    <w:pPr>
      <w:keepNext/>
      <w:widowControl/>
      <w:spacing w:before="240" w:after="120"/>
    </w:pPr>
    <w:rPr>
      <w:rFonts w:ascii="Arial" w:hAnsi="Arial"/>
      <w:sz w:val="28"/>
      <w:szCs w:val="28"/>
    </w:rPr>
  </w:style>
  <w:style w:type="character" w:customStyle="1" w:styleId="TtuloChar">
    <w:name w:val="Título Char"/>
    <w:basedOn w:val="Fontepargpadro"/>
    <w:link w:val="Ttulo"/>
    <w:rsid w:val="004833AE"/>
    <w:rPr>
      <w:rFonts w:ascii="Arial" w:eastAsia="Lucida Sans Unicode" w:hAnsi="Arial" w:cs="Tahoma"/>
      <w:kern w:val="3"/>
      <w:sz w:val="28"/>
      <w:szCs w:val="28"/>
      <w:lang w:eastAsia="pt-BR"/>
    </w:rPr>
  </w:style>
  <w:style w:type="paragraph" w:styleId="Subttulo">
    <w:name w:val="Subtitle"/>
    <w:basedOn w:val="Ttulo"/>
    <w:next w:val="Textbody"/>
    <w:link w:val="SubttuloChar"/>
    <w:rsid w:val="004833AE"/>
    <w:pPr>
      <w:jc w:val="center"/>
    </w:pPr>
    <w:rPr>
      <w:i/>
      <w:iCs/>
    </w:rPr>
  </w:style>
  <w:style w:type="character" w:customStyle="1" w:styleId="SubttuloChar">
    <w:name w:val="Subtítulo Char"/>
    <w:basedOn w:val="Fontepargpadro"/>
    <w:link w:val="Subttulo"/>
    <w:rsid w:val="004833AE"/>
    <w:rPr>
      <w:rFonts w:ascii="Arial" w:eastAsia="Lucida Sans Unicode" w:hAnsi="Arial" w:cs="Tahoma"/>
      <w:i/>
      <w:iCs/>
      <w:kern w:val="3"/>
      <w:sz w:val="28"/>
      <w:szCs w:val="28"/>
      <w:lang w:eastAsia="pt-BR"/>
    </w:rPr>
  </w:style>
  <w:style w:type="character" w:customStyle="1" w:styleId="StrongEmphasis">
    <w:name w:val="Strong Emphasis"/>
    <w:basedOn w:val="Fontepargpadro"/>
    <w:rsid w:val="0032355C"/>
    <w:rPr>
      <w:b/>
      <w:bCs/>
    </w:rPr>
  </w:style>
  <w:style w:type="paragraph" w:customStyle="1" w:styleId="Ttulo10">
    <w:name w:val="Título1"/>
    <w:basedOn w:val="Normal"/>
    <w:next w:val="Corpodetexto"/>
    <w:rsid w:val="0032355C"/>
    <w:pPr>
      <w:keepNext/>
      <w:suppressAutoHyphens/>
      <w:spacing w:before="240" w:after="120"/>
    </w:pPr>
    <w:rPr>
      <w:rFonts w:ascii="Arial" w:eastAsia="Lucida Sans Unicode" w:hAnsi="Arial" w:cs="Tahoma"/>
      <w:kern w:val="1"/>
      <w:sz w:val="28"/>
      <w:szCs w:val="28"/>
      <w:lang w:eastAsia="ar-SA"/>
    </w:rPr>
  </w:style>
  <w:style w:type="paragraph" w:styleId="Textodebalo">
    <w:name w:val="Balloon Text"/>
    <w:basedOn w:val="Normal"/>
    <w:link w:val="TextodebaloChar"/>
    <w:uiPriority w:val="99"/>
    <w:semiHidden/>
    <w:unhideWhenUsed/>
    <w:rsid w:val="003D0E3B"/>
    <w:rPr>
      <w:rFonts w:ascii="Segoe UI" w:hAnsi="Segoe UI" w:cs="Segoe UI"/>
      <w:sz w:val="18"/>
      <w:szCs w:val="18"/>
    </w:rPr>
  </w:style>
  <w:style w:type="character" w:customStyle="1" w:styleId="TextodebaloChar">
    <w:name w:val="Texto de balão Char"/>
    <w:basedOn w:val="Fontepargpadro"/>
    <w:link w:val="Textodebalo"/>
    <w:uiPriority w:val="99"/>
    <w:semiHidden/>
    <w:rsid w:val="003D0E3B"/>
    <w:rPr>
      <w:rFonts w:ascii="Segoe UI" w:eastAsia="Times New Roman" w:hAnsi="Segoe UI" w:cs="Segoe UI"/>
      <w:sz w:val="18"/>
      <w:szCs w:val="18"/>
      <w:lang w:eastAsia="pt-BR"/>
    </w:rPr>
  </w:style>
  <w:style w:type="character" w:customStyle="1" w:styleId="Ttulo2Char">
    <w:name w:val="Título 2 Char"/>
    <w:basedOn w:val="Fontepargpadro"/>
    <w:link w:val="Ttulo2"/>
    <w:uiPriority w:val="9"/>
    <w:semiHidden/>
    <w:rsid w:val="001C4274"/>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D36FBE"/>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textojustificado">
    <w:name w:val="texto_justificado"/>
    <w:basedOn w:val="Normal"/>
    <w:rsid w:val="00D65870"/>
    <w:pPr>
      <w:spacing w:before="100" w:beforeAutospacing="1" w:after="100" w:afterAutospacing="1"/>
    </w:pPr>
    <w:rPr>
      <w:sz w:val="24"/>
      <w:szCs w:val="24"/>
    </w:rPr>
  </w:style>
  <w:style w:type="character" w:styleId="Hyperlink">
    <w:name w:val="Hyperlink"/>
    <w:basedOn w:val="Fontepargpadro"/>
    <w:uiPriority w:val="99"/>
    <w:unhideWhenUsed/>
    <w:rsid w:val="00D65870"/>
    <w:rPr>
      <w:color w:val="0000FF"/>
      <w:u w:val="single"/>
    </w:rPr>
  </w:style>
  <w:style w:type="character" w:customStyle="1" w:styleId="Ttulo1Char">
    <w:name w:val="Título 1 Char"/>
    <w:basedOn w:val="Fontepargpadro"/>
    <w:link w:val="Ttulo1"/>
    <w:uiPriority w:val="9"/>
    <w:rsid w:val="00471155"/>
    <w:rPr>
      <w:rFonts w:asciiTheme="majorHAnsi" w:eastAsiaTheme="majorEastAsia" w:hAnsiTheme="majorHAnsi" w:cstheme="majorBidi"/>
      <w:color w:val="365F91" w:themeColor="accent1" w:themeShade="BF"/>
      <w:sz w:val="32"/>
      <w:szCs w:val="32"/>
      <w:lang w:eastAsia="pt-BR"/>
    </w:rPr>
  </w:style>
  <w:style w:type="paragraph" w:styleId="NormalWeb">
    <w:name w:val="Normal (Web)"/>
    <w:basedOn w:val="Normal"/>
    <w:uiPriority w:val="99"/>
    <w:unhideWhenUsed/>
    <w:rsid w:val="00471155"/>
    <w:pPr>
      <w:spacing w:before="100" w:beforeAutospacing="1" w:after="100" w:afterAutospacing="1"/>
    </w:pPr>
    <w:rPr>
      <w:sz w:val="24"/>
      <w:szCs w:val="24"/>
    </w:rPr>
  </w:style>
  <w:style w:type="paragraph" w:styleId="PargrafodaLista">
    <w:name w:val="List Paragraph"/>
    <w:basedOn w:val="Normal"/>
    <w:link w:val="PargrafodaListaChar"/>
    <w:uiPriority w:val="34"/>
    <w:qFormat/>
    <w:rsid w:val="00471155"/>
    <w:pPr>
      <w:widowControl w:val="0"/>
      <w:autoSpaceDE w:val="0"/>
      <w:autoSpaceDN w:val="0"/>
      <w:ind w:left="1105" w:hanging="708"/>
      <w:jc w:val="both"/>
    </w:pPr>
    <w:rPr>
      <w:rFonts w:ascii="Arial" w:eastAsia="Arial" w:hAnsi="Arial" w:cs="Arial"/>
      <w:sz w:val="22"/>
      <w:szCs w:val="22"/>
      <w:lang w:val="pt-PT" w:eastAsia="pt-PT" w:bidi="pt-PT"/>
    </w:rPr>
  </w:style>
  <w:style w:type="character" w:customStyle="1" w:styleId="PargrafodaListaChar">
    <w:name w:val="Parágrafo da Lista Char"/>
    <w:link w:val="PargrafodaLista"/>
    <w:uiPriority w:val="34"/>
    <w:qFormat/>
    <w:rsid w:val="00471155"/>
    <w:rPr>
      <w:rFonts w:ascii="Arial" w:eastAsia="Arial" w:hAnsi="Arial" w:cs="Arial"/>
      <w:lang w:val="pt-PT" w:eastAsia="pt-PT" w:bidi="pt-PT"/>
    </w:rPr>
  </w:style>
  <w:style w:type="paragraph" w:customStyle="1" w:styleId="Normal1">
    <w:name w:val="Normal1"/>
    <w:basedOn w:val="Normal"/>
    <w:rsid w:val="00A212B3"/>
    <w:pPr>
      <w:widowControl w:val="0"/>
      <w:suppressAutoHyphens/>
    </w:pPr>
    <w:rPr>
      <w:sz w:val="24"/>
      <w:lang w:val="pt-PT"/>
    </w:rPr>
  </w:style>
  <w:style w:type="character" w:styleId="nfase">
    <w:name w:val="Emphasis"/>
    <w:basedOn w:val="Fontepargpadro"/>
    <w:uiPriority w:val="20"/>
    <w:qFormat/>
    <w:rsid w:val="00A17D8B"/>
    <w:rPr>
      <w:i/>
      <w:iCs/>
    </w:rPr>
  </w:style>
  <w:style w:type="paragraph" w:customStyle="1" w:styleId="Recuodecorpodetexto21">
    <w:name w:val="Recuo de corpo de texto 21"/>
    <w:basedOn w:val="Normal"/>
    <w:rsid w:val="00E9214F"/>
    <w:pPr>
      <w:suppressAutoHyphens/>
      <w:ind w:left="851"/>
      <w:jc w:val="both"/>
    </w:pPr>
    <w:rPr>
      <w:rFonts w:ascii="Arial" w:hAnsi="Arial" w:cs="Arial"/>
      <w:sz w:val="24"/>
      <w:szCs w:val="24"/>
      <w:lang w:eastAsia="ar-SA"/>
    </w:rPr>
  </w:style>
  <w:style w:type="table" w:styleId="Tabelacomgrade">
    <w:name w:val="Table Grid"/>
    <w:basedOn w:val="Tabelanormal"/>
    <w:uiPriority w:val="59"/>
    <w:rsid w:val="0067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45640F"/>
    <w:rPr>
      <w:rFonts w:ascii="SegoeUI" w:hAnsi="SegoeUI" w:hint="default"/>
      <w:b w:val="0"/>
      <w:bCs w:val="0"/>
      <w:i w:val="0"/>
      <w:iCs w:val="0"/>
      <w:color w:val="000000"/>
      <w:sz w:val="22"/>
      <w:szCs w:val="22"/>
    </w:rPr>
  </w:style>
  <w:style w:type="character" w:styleId="MenoPendente">
    <w:name w:val="Unresolved Mention"/>
    <w:basedOn w:val="Fontepargpadro"/>
    <w:uiPriority w:val="99"/>
    <w:semiHidden/>
    <w:unhideWhenUsed/>
    <w:rsid w:val="00523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68957">
      <w:bodyDiv w:val="1"/>
      <w:marLeft w:val="0"/>
      <w:marRight w:val="0"/>
      <w:marTop w:val="0"/>
      <w:marBottom w:val="0"/>
      <w:divBdr>
        <w:top w:val="none" w:sz="0" w:space="0" w:color="auto"/>
        <w:left w:val="none" w:sz="0" w:space="0" w:color="auto"/>
        <w:bottom w:val="none" w:sz="0" w:space="0" w:color="auto"/>
        <w:right w:val="none" w:sz="0" w:space="0" w:color="auto"/>
      </w:divBdr>
    </w:div>
    <w:div w:id="742222738">
      <w:bodyDiv w:val="1"/>
      <w:marLeft w:val="0"/>
      <w:marRight w:val="0"/>
      <w:marTop w:val="0"/>
      <w:marBottom w:val="0"/>
      <w:divBdr>
        <w:top w:val="none" w:sz="0" w:space="0" w:color="auto"/>
        <w:left w:val="none" w:sz="0" w:space="0" w:color="auto"/>
        <w:bottom w:val="none" w:sz="0" w:space="0" w:color="auto"/>
        <w:right w:val="none" w:sz="0" w:space="0" w:color="auto"/>
      </w:divBdr>
    </w:div>
    <w:div w:id="899023947">
      <w:bodyDiv w:val="1"/>
      <w:marLeft w:val="0"/>
      <w:marRight w:val="0"/>
      <w:marTop w:val="0"/>
      <w:marBottom w:val="0"/>
      <w:divBdr>
        <w:top w:val="none" w:sz="0" w:space="0" w:color="auto"/>
        <w:left w:val="none" w:sz="0" w:space="0" w:color="auto"/>
        <w:bottom w:val="none" w:sz="0" w:space="0" w:color="auto"/>
        <w:right w:val="none" w:sz="0" w:space="0" w:color="auto"/>
      </w:divBdr>
    </w:div>
    <w:div w:id="942417080">
      <w:bodyDiv w:val="1"/>
      <w:marLeft w:val="0"/>
      <w:marRight w:val="0"/>
      <w:marTop w:val="0"/>
      <w:marBottom w:val="0"/>
      <w:divBdr>
        <w:top w:val="none" w:sz="0" w:space="0" w:color="auto"/>
        <w:left w:val="none" w:sz="0" w:space="0" w:color="auto"/>
        <w:bottom w:val="none" w:sz="0" w:space="0" w:color="auto"/>
        <w:right w:val="none" w:sz="0" w:space="0" w:color="auto"/>
      </w:divBdr>
    </w:div>
    <w:div w:id="1173303191">
      <w:bodyDiv w:val="1"/>
      <w:marLeft w:val="0"/>
      <w:marRight w:val="0"/>
      <w:marTop w:val="0"/>
      <w:marBottom w:val="0"/>
      <w:divBdr>
        <w:top w:val="none" w:sz="0" w:space="0" w:color="auto"/>
        <w:left w:val="none" w:sz="0" w:space="0" w:color="auto"/>
        <w:bottom w:val="none" w:sz="0" w:space="0" w:color="auto"/>
        <w:right w:val="none" w:sz="0" w:space="0" w:color="auto"/>
      </w:divBdr>
    </w:div>
    <w:div w:id="1242763368">
      <w:bodyDiv w:val="1"/>
      <w:marLeft w:val="0"/>
      <w:marRight w:val="0"/>
      <w:marTop w:val="0"/>
      <w:marBottom w:val="0"/>
      <w:divBdr>
        <w:top w:val="none" w:sz="0" w:space="0" w:color="auto"/>
        <w:left w:val="none" w:sz="0" w:space="0" w:color="auto"/>
        <w:bottom w:val="none" w:sz="0" w:space="0" w:color="auto"/>
        <w:right w:val="none" w:sz="0" w:space="0" w:color="auto"/>
      </w:divBdr>
    </w:div>
    <w:div w:id="1293172766">
      <w:bodyDiv w:val="1"/>
      <w:marLeft w:val="0"/>
      <w:marRight w:val="0"/>
      <w:marTop w:val="0"/>
      <w:marBottom w:val="0"/>
      <w:divBdr>
        <w:top w:val="none" w:sz="0" w:space="0" w:color="auto"/>
        <w:left w:val="none" w:sz="0" w:space="0" w:color="auto"/>
        <w:bottom w:val="none" w:sz="0" w:space="0" w:color="auto"/>
        <w:right w:val="none" w:sz="0" w:space="0" w:color="auto"/>
      </w:divBdr>
    </w:div>
    <w:div w:id="1835955207">
      <w:bodyDiv w:val="1"/>
      <w:marLeft w:val="0"/>
      <w:marRight w:val="0"/>
      <w:marTop w:val="0"/>
      <w:marBottom w:val="0"/>
      <w:divBdr>
        <w:top w:val="none" w:sz="0" w:space="0" w:color="auto"/>
        <w:left w:val="none" w:sz="0" w:space="0" w:color="auto"/>
        <w:bottom w:val="none" w:sz="0" w:space="0" w:color="auto"/>
        <w:right w:val="none" w:sz="0" w:space="0" w:color="auto"/>
      </w:divBdr>
    </w:div>
    <w:div w:id="20178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Decreto-Lei/Del465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E5AE2-6DF7-4BB1-87A1-C1CD964A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912</Words>
  <Characters>4926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joao.vitor</dc:creator>
  <cp:lastModifiedBy>THIAGO GOMES CARDONIA</cp:lastModifiedBy>
  <cp:revision>2</cp:revision>
  <cp:lastPrinted>2025-10-06T17:51:00Z</cp:lastPrinted>
  <dcterms:created xsi:type="dcterms:W3CDTF">2025-10-06T17:57:00Z</dcterms:created>
  <dcterms:modified xsi:type="dcterms:W3CDTF">2025-10-06T17:57:00Z</dcterms:modified>
</cp:coreProperties>
</file>